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8676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867600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Fairmount Funds Management LLC</w:t>
        </w:r>
      </w:hyperlink>
    </w:p>
    <w:p>
      <w:pPr>
        <w:spacing w:after="0" w:line="30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1040"/>
        <w:spacing w:after="0" w:line="340" w:lineRule="auto"/>
        <w:rPr>
          <w:sz w:val="20"/>
          <w:szCs w:val="20"/>
          <w:color w:val="auto"/>
        </w:rPr>
      </w:pPr>
      <w:r>
        <w:rPr>
          <w:rFonts w:ascii="Times New Roman" w:cs="Times New Roman" w:eastAsia="Times New Roman" w:hAnsi="Times New Roman"/>
          <w:sz w:val="17"/>
          <w:szCs w:val="17"/>
          <w:color w:val="0000FF"/>
        </w:rPr>
        <w:t>200 BARR HARBOR DRIVE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Oruka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ORKA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9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0"/>
        <w:spacing w:after="0"/>
        <w:tabs>
          <w:tab w:leader="none" w:pos="1707"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255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255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64" w:lineRule="exact"/>
        <w:rPr>
          <w:sz w:val="24"/>
          <w:szCs w:val="24"/>
          <w:color w:val="auto"/>
        </w:rPr>
      </w:pPr>
    </w:p>
    <w:p>
      <w:pPr>
        <w:sectPr>
          <w:pgSz w:w="11900" w:h="16838" w:orient="portrait"/>
          <w:cols w:equalWidth="0" w:num="3">
            <w:col w:w="3200" w:space="720"/>
            <w:col w:w="3100" w:space="720"/>
            <w:col w:w="3340"/>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680" w:type="dxa"/>
            <w:vAlign w:val="bottom"/>
            <w:gridSpan w:val="9"/>
            <w:vMerge w:val="restart"/>
          </w:tcPr>
          <w:p>
            <w:pPr>
              <w:jc w:val="center"/>
              <w:ind w:right="43"/>
              <w:spacing w:after="0" w:line="143" w:lineRule="exact"/>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vMerge w:val="restart"/>
          </w:tcPr>
          <w:p>
            <w:pPr>
              <w:ind w:left="300"/>
              <w:spacing w:after="0" w:line="14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3680" w:type="dxa"/>
            <w:vAlign w:val="bottom"/>
            <w:gridSpan w:val="9"/>
            <w:vMerge w:val="continue"/>
          </w:tcPr>
          <w:p>
            <w:pPr>
              <w:spacing w:after="0"/>
              <w:rPr>
                <w:sz w:val="3"/>
                <w:szCs w:val="3"/>
                <w:color w:val="auto"/>
              </w:rPr>
            </w:pPr>
          </w:p>
        </w:tc>
        <w:tc>
          <w:tcPr>
            <w:tcW w:w="3640" w:type="dxa"/>
            <w:vAlign w:val="bottom"/>
            <w:gridSpan w:val="10"/>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8"/>
                <w:szCs w:val="1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WEST</w:t>
            </w:r>
          </w:p>
        </w:tc>
        <w:tc>
          <w:tcPr>
            <w:tcW w:w="800" w:type="dxa"/>
            <w:vAlign w:val="bottom"/>
          </w:tcPr>
          <w:p>
            <w:pPr>
              <w:spacing w:after="0"/>
              <w:rPr>
                <w:sz w:val="12"/>
                <w:szCs w:val="12"/>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PA</w:t>
            </w:r>
          </w:p>
        </w:tc>
        <w:tc>
          <w:tcPr>
            <w:tcW w:w="5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8"/>
              </w:rPr>
              <w:t>19428</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w w:val="96"/>
              </w:rPr>
              <w:t>CONSHOHOCKEN</w:t>
            </w:r>
          </w:p>
        </w:tc>
        <w:tc>
          <w:tcPr>
            <w:tcW w:w="10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gridSpan w:val="2"/>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6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gridSpan w:val="3"/>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7"/>
          </w:tcPr>
          <w:p>
            <w:pPr>
              <w:ind w:left="8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400" w:type="dxa"/>
            <w:vAlign w:val="bottom"/>
            <w:tcBorders>
              <w:bottom w:val="single" w:sz="8" w:color="2C2C2C"/>
            </w:tcBorders>
            <w:gridSpan w:val="3"/>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4"/>
                <w:szCs w:val="14"/>
                <w:color w:val="auto"/>
              </w:rPr>
            </w:pPr>
          </w:p>
        </w:tc>
        <w:tc>
          <w:tcPr>
            <w:tcW w:w="1280" w:type="dxa"/>
            <w:vAlign w:val="bottom"/>
            <w:gridSpan w:val="4"/>
          </w:tcPr>
          <w:p>
            <w:pPr>
              <w:ind w:left="2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ind w:left="2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80" w:type="dxa"/>
            <w:vAlign w:val="bottom"/>
            <w:gridSpan w:val="4"/>
          </w:tcPr>
          <w:p>
            <w:pPr>
              <w:ind w:left="2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gridSpan w:val="3"/>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6"/>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940" w:type="dxa"/>
            <w:vAlign w:val="bottom"/>
            <w:gridSpan w:val="13"/>
          </w:tcPr>
          <w:p>
            <w:pPr>
              <w:jc w:val="center"/>
              <w:ind w:right="4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11.77</w:t>
            </w:r>
          </w:p>
        </w:tc>
        <w:tc>
          <w:tcPr>
            <w:tcW w:w="102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06/02/2025</w:t>
            </w: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17,500</w:t>
            </w:r>
          </w:p>
        </w:tc>
        <w:tc>
          <w:tcPr>
            <w:tcW w:w="34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06/01/2035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17,500</w:t>
            </w:r>
          </w:p>
        </w:tc>
        <w:tc>
          <w:tcPr>
            <w:tcW w:w="6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17,500</w:t>
            </w:r>
          </w:p>
        </w:tc>
        <w:tc>
          <w:tcPr>
            <w:tcW w:w="280" w:type="dxa"/>
            <w:vAlign w:val="bottom"/>
          </w:tcPr>
          <w:p>
            <w:pPr>
              <w:spacing w:after="0"/>
              <w:rPr>
                <w:sz w:val="17"/>
                <w:szCs w:val="17"/>
                <w:color w:val="auto"/>
              </w:rPr>
            </w:pPr>
          </w:p>
        </w:tc>
        <w:tc>
          <w:tcPr>
            <w:tcW w:w="660" w:type="dxa"/>
            <w:vAlign w:val="bottom"/>
          </w:tcPr>
          <w:p>
            <w:pPr>
              <w:ind w:left="280"/>
              <w:spacing w:after="0" w:line="207" w:lineRule="exact"/>
              <w:rPr>
                <w:sz w:val="20"/>
                <w:szCs w:val="20"/>
                <w:color w:val="auto"/>
              </w:rPr>
            </w:pPr>
            <w:r>
              <w:rPr>
                <w:rFonts w:ascii="Times New Roman" w:cs="Times New Roman" w:eastAsia="Times New Roman" w:hAnsi="Times New Roman"/>
                <w:sz w:val="23"/>
                <w:szCs w:val="23"/>
                <w:color w:val="0000FF"/>
                <w:vertAlign w:val="subscript"/>
              </w:rPr>
              <w:t>I</w:t>
            </w:r>
            <w:r>
              <w:rPr>
                <w:rFonts w:ascii="Times New Roman" w:cs="Times New Roman" w:eastAsia="Times New Roman" w:hAnsi="Times New Roman"/>
                <w:sz w:val="10"/>
                <w:szCs w:val="10"/>
                <w:color w:val="008000"/>
              </w:rPr>
              <w:t>(2)</w:t>
            </w:r>
          </w:p>
        </w:tc>
        <w:tc>
          <w:tcPr>
            <w:tcW w:w="820" w:type="dxa"/>
            <w:vAlign w:val="bottom"/>
            <w:tcBorders>
              <w:right w:val="single" w:sz="8" w:color="2C2C2C"/>
            </w:tcBorders>
            <w:gridSpan w:val="3"/>
          </w:tcPr>
          <w:p>
            <w:pPr>
              <w:ind w:left="140"/>
              <w:spacing w:after="0"/>
              <w:rPr>
                <w:sz w:val="20"/>
                <w:szCs w:val="20"/>
                <w:color w:val="auto"/>
              </w:rPr>
            </w:pPr>
            <w:r>
              <w:rPr>
                <w:rFonts w:ascii="Times New Roman" w:cs="Times New Roman" w:eastAsia="Times New Roman" w:hAnsi="Times New Roman"/>
                <w:sz w:val="13"/>
                <w:szCs w:val="13"/>
                <w:color w:val="0000FF"/>
              </w:rPr>
              <w:t>By: Peter</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tcPr>
          <w:p>
            <w:pPr>
              <w:ind w:left="60"/>
              <w:spacing w:after="0" w:line="78" w:lineRule="exact"/>
              <w:rPr>
                <w:sz w:val="20"/>
                <w:szCs w:val="20"/>
                <w:color w:val="auto"/>
              </w:rPr>
            </w:pPr>
            <w:r>
              <w:rPr>
                <w:rFonts w:ascii="Times New Roman" w:cs="Times New Roman" w:eastAsia="Times New Roman" w:hAnsi="Times New Roman"/>
                <w:sz w:val="8"/>
                <w:szCs w:val="8"/>
                <w:color w:val="0000FF"/>
              </w:rPr>
              <w:t>(Right to</w:t>
            </w: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ind w:left="160"/>
              <w:spacing w:after="0" w:line="78" w:lineRule="exact"/>
              <w:rPr>
                <w:sz w:val="20"/>
                <w:szCs w:val="20"/>
                <w:color w:val="auto"/>
              </w:rPr>
            </w:pPr>
            <w:r>
              <w:rPr>
                <w:rFonts w:ascii="Times New Roman" w:cs="Times New Roman" w:eastAsia="Times New Roman" w:hAnsi="Times New Roman"/>
                <w:sz w:val="8"/>
                <w:szCs w:val="8"/>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right w:val="single" w:sz="8" w:color="2C2C2C"/>
            </w:tcBorders>
            <w:gridSpan w:val="3"/>
          </w:tcPr>
          <w:p>
            <w:pPr>
              <w:ind w:left="140"/>
              <w:spacing w:after="0" w:line="78" w:lineRule="exact"/>
              <w:rPr>
                <w:sz w:val="20"/>
                <w:szCs w:val="20"/>
                <w:color w:val="auto"/>
              </w:rPr>
            </w:pPr>
            <w:r>
              <w:rPr>
                <w:rFonts w:ascii="Times New Roman" w:cs="Times New Roman" w:eastAsia="Times New Roman" w:hAnsi="Times New Roman"/>
                <w:sz w:val="8"/>
                <w:szCs w:val="8"/>
                <w:color w:val="0000FF"/>
              </w:rPr>
              <w:t>Harwin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980" w:type="dxa"/>
            <w:vAlign w:val="bottom"/>
            <w:tcBorders>
              <w:bottom w:val="single" w:sz="8" w:color="2C2C2C"/>
            </w:tcBorders>
            <w:gridSpan w:val="4"/>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3640" w:type="dxa"/>
            <w:vAlign w:val="bottom"/>
            <w:tcBorders>
              <w:top w:val="single" w:sz="8" w:color="2C2C2C"/>
            </w:tcBorders>
            <w:gridSpan w:val="7"/>
          </w:tcPr>
          <w:p>
            <w:pPr>
              <w:ind w:left="60"/>
              <w:spacing w:after="0" w:line="231"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560" w:type="dxa"/>
            <w:vAlign w:val="bottom"/>
            <w:gridSpan w:val="6"/>
          </w:tcPr>
          <w:p>
            <w:pPr>
              <w:ind w:left="20"/>
              <w:spacing w:after="0" w:line="219"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Fairmount Funds Management LLC</w:t>
              </w:r>
            </w:hyperlink>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800" w:type="dxa"/>
            <w:vAlign w:val="bottom"/>
            <w:tcBorders>
              <w:top w:val="single" w:sz="8" w:color="0000EE"/>
              <w:bottom w:val="single" w:sz="8" w:color="9A9A9A"/>
            </w:tcBorders>
          </w:tcPr>
          <w:p>
            <w:pPr>
              <w:spacing w:after="0"/>
              <w:rPr>
                <w:sz w:val="14"/>
                <w:szCs w:val="14"/>
                <w:color w:val="auto"/>
              </w:rPr>
            </w:pPr>
          </w:p>
        </w:tc>
        <w:tc>
          <w:tcPr>
            <w:tcW w:w="102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80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-2731135</wp:posOffset>
            </wp:positionV>
            <wp:extent cx="29210" cy="21050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210" cy="2105025"/>
                    </a:xfrm>
                    <a:prstGeom prst="rect">
                      <a:avLst/>
                    </a:prstGeom>
                    <a:noFill/>
                  </pic:spPr>
                </pic:pic>
              </a:graphicData>
            </a:graphic>
          </wp:anchor>
        </w:drawing>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BARR HARBOR DRIVE</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400</w:t>
      </w:r>
    </w:p>
    <w:p>
      <w:pPr>
        <w:spacing w:after="0" w:line="282"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ind w:left="120"/>
        <w:spacing w:after="0" w:line="198" w:lineRule="auto"/>
        <w:tabs>
          <w:tab w:leader="none" w:pos="1540" w:val="left"/>
          <w:tab w:leader="none" w:pos="2920" w:val="left"/>
        </w:tabs>
        <w:rPr>
          <w:sz w:val="20"/>
          <w:szCs w:val="20"/>
          <w:color w:val="auto"/>
        </w:rPr>
      </w:pPr>
      <w:r>
        <w:rPr>
          <w:rFonts w:ascii="Times New Roman" w:cs="Times New Roman" w:eastAsia="Times New Roman" w:hAnsi="Times New Roman"/>
          <w:sz w:val="17"/>
          <w:szCs w:val="17"/>
          <w:color w:val="0000FF"/>
          <w:vertAlign w:val="superscript"/>
        </w:rPr>
        <w:t>WEST</w:t>
      </w:r>
      <w:r>
        <w:rPr>
          <w:sz w:val="20"/>
          <w:szCs w:val="20"/>
          <w:color w:val="auto"/>
        </w:rPr>
        <w:tab/>
      </w:r>
      <w:r>
        <w:rPr>
          <w:rFonts w:ascii="Times New Roman" w:cs="Times New Roman" w:eastAsia="Times New Roman" w:hAnsi="Times New Roman"/>
          <w:sz w:val="11"/>
          <w:szCs w:val="11"/>
          <w:color w:val="0000FF"/>
        </w:rPr>
        <w:t>PA</w:t>
      </w:r>
      <w:r>
        <w:rPr>
          <w:sz w:val="20"/>
          <w:szCs w:val="20"/>
          <w:color w:val="auto"/>
        </w:rPr>
        <w:tab/>
      </w:r>
      <w:r>
        <w:rPr>
          <w:rFonts w:ascii="Times New Roman" w:cs="Times New Roman" w:eastAsia="Times New Roman" w:hAnsi="Times New Roman"/>
          <w:sz w:val="16"/>
          <w:szCs w:val="16"/>
          <w:color w:val="0000FF"/>
        </w:rPr>
        <w:t>19428</w:t>
      </w:r>
    </w:p>
    <w:p>
      <w:pPr>
        <w:spacing w:after="0" w:line="10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CONSHOHOCKEN</w:t>
      </w:r>
    </w:p>
    <w:p>
      <w:pPr>
        <w:spacing w:after="0" w:line="302" w:lineRule="exact"/>
        <w:rPr>
          <w:sz w:val="24"/>
          <w:szCs w:val="24"/>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4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Fairmount Healthcare Fund II L.P.</w:t>
        </w:r>
      </w:hyperlink>
    </w:p>
    <w:p>
      <w:pPr>
        <w:spacing w:after="0" w:line="291" w:lineRule="exact"/>
        <w:rPr>
          <w:sz w:val="24"/>
          <w:szCs w:val="24"/>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BARR HARBOR DRIVE</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400</w:t>
      </w:r>
    </w:p>
    <w:p>
      <w:pPr>
        <w:spacing w:after="0" w:line="282"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ind w:left="120"/>
        <w:spacing w:after="0" w:line="198" w:lineRule="auto"/>
        <w:tabs>
          <w:tab w:leader="none" w:pos="1540" w:val="left"/>
          <w:tab w:leader="none" w:pos="2920" w:val="left"/>
        </w:tabs>
        <w:rPr>
          <w:sz w:val="20"/>
          <w:szCs w:val="20"/>
          <w:color w:val="auto"/>
        </w:rPr>
      </w:pPr>
      <w:r>
        <w:rPr>
          <w:rFonts w:ascii="Times New Roman" w:cs="Times New Roman" w:eastAsia="Times New Roman" w:hAnsi="Times New Roman"/>
          <w:sz w:val="17"/>
          <w:szCs w:val="17"/>
          <w:color w:val="0000FF"/>
          <w:vertAlign w:val="superscript"/>
        </w:rPr>
        <w:t>WEST</w:t>
      </w:r>
      <w:r>
        <w:rPr>
          <w:sz w:val="20"/>
          <w:szCs w:val="20"/>
          <w:color w:val="auto"/>
        </w:rPr>
        <w:tab/>
      </w:r>
      <w:r>
        <w:rPr>
          <w:rFonts w:ascii="Times New Roman" w:cs="Times New Roman" w:eastAsia="Times New Roman" w:hAnsi="Times New Roman"/>
          <w:sz w:val="11"/>
          <w:szCs w:val="11"/>
          <w:color w:val="0000FF"/>
        </w:rPr>
        <w:t>PA</w:t>
      </w:r>
      <w:r>
        <w:rPr>
          <w:sz w:val="20"/>
          <w:szCs w:val="20"/>
          <w:color w:val="auto"/>
        </w:rPr>
        <w:tab/>
      </w:r>
      <w:r>
        <w:rPr>
          <w:rFonts w:ascii="Times New Roman" w:cs="Times New Roman" w:eastAsia="Times New Roman" w:hAnsi="Times New Roman"/>
          <w:sz w:val="16"/>
          <w:szCs w:val="16"/>
          <w:color w:val="0000FF"/>
        </w:rPr>
        <w:t>19428</w:t>
      </w:r>
    </w:p>
    <w:p>
      <w:pPr>
        <w:spacing w:after="0" w:line="10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CONSHOHOCKEN</w:t>
      </w:r>
    </w:p>
    <w:p>
      <w:pPr>
        <w:sectPr>
          <w:pgSz w:w="11900" w:h="16838" w:orient="portrait"/>
          <w:cols w:equalWidth="0" w:num="1">
            <w:col w:w="11080"/>
          </w:cols>
          <w:pgMar w:left="460" w:top="217" w:right="359" w:bottom="0" w:gutter="0" w:footer="0" w:header="0"/>
          <w:type w:val="continuous"/>
        </w:sectPr>
      </w:pPr>
    </w:p>
    <w:p>
      <w:pPr>
        <w:spacing w:after="0" w:line="302" w:lineRule="exact"/>
        <w:rPr>
          <w:sz w:val="24"/>
          <w:szCs w:val="24"/>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1080"/>
          </w:cols>
          <w:pgMar w:left="460" w:top="217"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-136525</wp:posOffset>
            </wp:positionV>
            <wp:extent cx="2809240" cy="55562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809240" cy="5556250"/>
                    </a:xfrm>
                    <a:prstGeom prst="rect">
                      <a:avLst/>
                    </a:prstGeom>
                    <a:noFill/>
                  </pic:spPr>
                </pic:pic>
              </a:graphicData>
            </a:graphic>
          </wp:anchor>
        </w:drawing>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Fairmount Healthcare Co-Invest III L.P.</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0" w:type="dxa"/>
            <w:vAlign w:val="bottom"/>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24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8"/>
        </w:trPr>
        <w:tc>
          <w:tcPr>
            <w:tcW w:w="80" w:type="dxa"/>
            <w:vAlign w:val="bottom"/>
          </w:tcPr>
          <w:p>
            <w:pPr>
              <w:spacing w:after="0"/>
              <w:rPr>
                <w:sz w:val="23"/>
                <w:szCs w:val="23"/>
                <w:color w:val="auto"/>
              </w:rPr>
            </w:pPr>
          </w:p>
        </w:tc>
        <w:tc>
          <w:tcPr>
            <w:tcW w:w="264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200 BARR HARBOR DRIVE</w:t>
            </w: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80" w:type="dxa"/>
            <w:vAlign w:val="bottom"/>
          </w:tcPr>
          <w:p>
            <w:pPr>
              <w:spacing w:after="0"/>
              <w:rPr>
                <w:sz w:val="22"/>
                <w:szCs w:val="22"/>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SUITE 400</w:t>
            </w: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148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WEST</w:t>
            </w: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PA</w:t>
            </w:r>
          </w:p>
        </w:tc>
        <w:tc>
          <w:tcPr>
            <w:tcW w:w="15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19428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w w:val="96"/>
              </w:rPr>
              <w:t>CONSHOHOCKEN</w:t>
            </w:r>
          </w:p>
        </w:tc>
        <w:tc>
          <w:tcPr>
            <w:tcW w:w="1240" w:type="dxa"/>
            <w:vAlign w:val="bottom"/>
            <w:gridSpan w:val="2"/>
            <w:vMerge w:val="continue"/>
          </w:tcPr>
          <w:p>
            <w:pPr>
              <w:spacing w:after="0"/>
              <w:rPr>
                <w:sz w:val="18"/>
                <w:szCs w:val="18"/>
                <w:color w:val="auto"/>
              </w:rPr>
            </w:pPr>
          </w:p>
        </w:tc>
        <w:tc>
          <w:tcPr>
            <w:tcW w:w="1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80" w:type="dxa"/>
            <w:vAlign w:val="bottom"/>
          </w:tcPr>
          <w:p>
            <w:pPr>
              <w:spacing w:after="0"/>
              <w:rPr>
                <w:sz w:val="24"/>
                <w:szCs w:val="24"/>
                <w:color w:val="auto"/>
              </w:rPr>
            </w:pPr>
          </w:p>
        </w:tc>
        <w:tc>
          <w:tcPr>
            <w:tcW w:w="1400" w:type="dxa"/>
            <w:vAlign w:val="bottom"/>
            <w:gridSpan w:val="3"/>
          </w:tcPr>
          <w:p>
            <w:pPr>
              <w:ind w:left="20"/>
              <w:spacing w:after="0"/>
              <w:rPr>
                <w:sz w:val="20"/>
                <w:szCs w:val="20"/>
                <w:color w:val="auto"/>
              </w:rPr>
            </w:pPr>
            <w:r>
              <w:rPr>
                <w:rFonts w:ascii="Arial" w:cs="Arial" w:eastAsia="Arial" w:hAnsi="Arial"/>
                <w:sz w:val="13"/>
                <w:szCs w:val="13"/>
                <w:color w:val="auto"/>
              </w:rPr>
              <w:t>(City)</w:t>
            </w:r>
          </w:p>
        </w:tc>
        <w:tc>
          <w:tcPr>
            <w:tcW w:w="124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2"/>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gridSpan w:val="2"/>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7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2640" w:type="dxa"/>
            <w:vAlign w:val="bottom"/>
            <w:gridSpan w:val="5"/>
          </w:tcPr>
          <w:p>
            <w:pPr>
              <w:ind w:left="20"/>
              <w:spacing w:after="0" w:line="219"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Harwin Peter Evan</w:t>
              </w:r>
            </w:hyperlink>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2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80" w:type="dxa"/>
            <w:vAlign w:val="bottom"/>
          </w:tcPr>
          <w:p>
            <w:pPr>
              <w:spacing w:after="0"/>
              <w:rPr>
                <w:sz w:val="24"/>
                <w:szCs w:val="24"/>
                <w:color w:val="auto"/>
              </w:rPr>
            </w:pPr>
          </w:p>
        </w:tc>
        <w:tc>
          <w:tcPr>
            <w:tcW w:w="140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24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8"/>
        </w:trPr>
        <w:tc>
          <w:tcPr>
            <w:tcW w:w="80" w:type="dxa"/>
            <w:vAlign w:val="bottom"/>
          </w:tcPr>
          <w:p>
            <w:pPr>
              <w:spacing w:after="0"/>
              <w:rPr>
                <w:sz w:val="23"/>
                <w:szCs w:val="23"/>
                <w:color w:val="auto"/>
              </w:rPr>
            </w:pPr>
          </w:p>
        </w:tc>
        <w:tc>
          <w:tcPr>
            <w:tcW w:w="264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200 BARR HARBOR DRIVE</w:t>
            </w: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80" w:type="dxa"/>
            <w:vAlign w:val="bottom"/>
          </w:tcPr>
          <w:p>
            <w:pPr>
              <w:spacing w:after="0"/>
              <w:rPr>
                <w:sz w:val="22"/>
                <w:szCs w:val="22"/>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SUITE 400</w:t>
            </w: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148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WEST</w:t>
            </w: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PA</w:t>
            </w:r>
          </w:p>
        </w:tc>
        <w:tc>
          <w:tcPr>
            <w:tcW w:w="15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19428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w w:val="96"/>
              </w:rPr>
              <w:t>CONSHOHOCKEN</w:t>
            </w:r>
          </w:p>
        </w:tc>
        <w:tc>
          <w:tcPr>
            <w:tcW w:w="1240" w:type="dxa"/>
            <w:vAlign w:val="bottom"/>
            <w:gridSpan w:val="2"/>
            <w:vMerge w:val="continue"/>
          </w:tcPr>
          <w:p>
            <w:pPr>
              <w:spacing w:after="0"/>
              <w:rPr>
                <w:sz w:val="18"/>
                <w:szCs w:val="18"/>
                <w:color w:val="auto"/>
              </w:rPr>
            </w:pPr>
          </w:p>
        </w:tc>
        <w:tc>
          <w:tcPr>
            <w:tcW w:w="1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80" w:type="dxa"/>
            <w:vAlign w:val="bottom"/>
          </w:tcPr>
          <w:p>
            <w:pPr>
              <w:spacing w:after="0"/>
              <w:rPr>
                <w:sz w:val="24"/>
                <w:szCs w:val="24"/>
                <w:color w:val="auto"/>
              </w:rPr>
            </w:pPr>
          </w:p>
        </w:tc>
        <w:tc>
          <w:tcPr>
            <w:tcW w:w="1400" w:type="dxa"/>
            <w:vAlign w:val="bottom"/>
            <w:gridSpan w:val="3"/>
          </w:tcPr>
          <w:p>
            <w:pPr>
              <w:ind w:left="20"/>
              <w:spacing w:after="0"/>
              <w:rPr>
                <w:sz w:val="20"/>
                <w:szCs w:val="20"/>
                <w:color w:val="auto"/>
              </w:rPr>
            </w:pPr>
            <w:r>
              <w:rPr>
                <w:rFonts w:ascii="Arial" w:cs="Arial" w:eastAsia="Arial" w:hAnsi="Arial"/>
                <w:sz w:val="13"/>
                <w:szCs w:val="13"/>
                <w:color w:val="auto"/>
              </w:rPr>
              <w:t>(City)</w:t>
            </w:r>
          </w:p>
        </w:tc>
        <w:tc>
          <w:tcPr>
            <w:tcW w:w="124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2"/>
        </w:trPr>
        <w:tc>
          <w:tcPr>
            <w:tcW w:w="100" w:type="dxa"/>
            <w:vAlign w:val="bottom"/>
            <w:tcBorders>
              <w:bottom w:val="single" w:sz="8" w:color="2C2C2C"/>
            </w:tcBorders>
            <w:gridSpan w:val="2"/>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gridSpan w:val="2"/>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7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1400" w:type="dxa"/>
            <w:vAlign w:val="bottom"/>
            <w:gridSpan w:val="3"/>
          </w:tcPr>
          <w:p>
            <w:pPr>
              <w:ind w:left="20"/>
              <w:spacing w:after="0" w:line="219"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Kiselak Tomas</w:t>
              </w:r>
            </w:hyperlink>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20" w:type="dxa"/>
            <w:vAlign w:val="bottom"/>
            <w:tcBorders>
              <w:top w:val="single" w:sz="8" w:color="0000EE"/>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80" w:type="dxa"/>
            <w:vAlign w:val="bottom"/>
          </w:tcPr>
          <w:p>
            <w:pPr>
              <w:spacing w:after="0"/>
              <w:rPr>
                <w:sz w:val="24"/>
                <w:szCs w:val="24"/>
                <w:color w:val="auto"/>
              </w:rPr>
            </w:pPr>
          </w:p>
        </w:tc>
        <w:tc>
          <w:tcPr>
            <w:tcW w:w="140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24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8"/>
        </w:trPr>
        <w:tc>
          <w:tcPr>
            <w:tcW w:w="80" w:type="dxa"/>
            <w:vAlign w:val="bottom"/>
          </w:tcPr>
          <w:p>
            <w:pPr>
              <w:spacing w:after="0"/>
              <w:rPr>
                <w:sz w:val="23"/>
                <w:szCs w:val="23"/>
                <w:color w:val="auto"/>
              </w:rPr>
            </w:pPr>
          </w:p>
        </w:tc>
        <w:tc>
          <w:tcPr>
            <w:tcW w:w="264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200 BARR HARBOR DRIVE</w:t>
            </w: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80" w:type="dxa"/>
            <w:vAlign w:val="bottom"/>
          </w:tcPr>
          <w:p>
            <w:pPr>
              <w:spacing w:after="0"/>
              <w:rPr>
                <w:sz w:val="22"/>
                <w:szCs w:val="22"/>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SUITE 400</w:t>
            </w: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148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WEST</w:t>
            </w: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PA</w:t>
            </w:r>
          </w:p>
        </w:tc>
        <w:tc>
          <w:tcPr>
            <w:tcW w:w="15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19428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w w:val="96"/>
              </w:rPr>
              <w:t>CONSHOHOCKEN</w:t>
            </w:r>
          </w:p>
        </w:tc>
        <w:tc>
          <w:tcPr>
            <w:tcW w:w="1240" w:type="dxa"/>
            <w:vAlign w:val="bottom"/>
            <w:gridSpan w:val="2"/>
            <w:vMerge w:val="continue"/>
          </w:tcPr>
          <w:p>
            <w:pPr>
              <w:spacing w:after="0"/>
              <w:rPr>
                <w:sz w:val="18"/>
                <w:szCs w:val="18"/>
                <w:color w:val="auto"/>
              </w:rPr>
            </w:pPr>
          </w:p>
        </w:tc>
        <w:tc>
          <w:tcPr>
            <w:tcW w:w="1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80" w:type="dxa"/>
            <w:vAlign w:val="bottom"/>
          </w:tcPr>
          <w:p>
            <w:pPr>
              <w:spacing w:after="0"/>
              <w:rPr>
                <w:sz w:val="24"/>
                <w:szCs w:val="24"/>
                <w:color w:val="auto"/>
              </w:rPr>
            </w:pPr>
          </w:p>
        </w:tc>
        <w:tc>
          <w:tcPr>
            <w:tcW w:w="1400" w:type="dxa"/>
            <w:vAlign w:val="bottom"/>
            <w:gridSpan w:val="3"/>
          </w:tcPr>
          <w:p>
            <w:pPr>
              <w:ind w:left="20"/>
              <w:spacing w:after="0"/>
              <w:rPr>
                <w:sz w:val="20"/>
                <w:szCs w:val="20"/>
                <w:color w:val="auto"/>
              </w:rPr>
            </w:pPr>
            <w:r>
              <w:rPr>
                <w:rFonts w:ascii="Arial" w:cs="Arial" w:eastAsia="Arial" w:hAnsi="Arial"/>
                <w:sz w:val="13"/>
                <w:szCs w:val="13"/>
                <w:color w:val="auto"/>
              </w:rPr>
              <w:t>(City)</w:t>
            </w:r>
          </w:p>
        </w:tc>
        <w:tc>
          <w:tcPr>
            <w:tcW w:w="124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60" w:hanging="138"/>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option represents a right to purchase 17,500 shares of the Issuer's common stock, which vests as to 1/12 of the option monthly from June 2, 2025, subject to the recipient's continued service to the Issuer.</w:t>
      </w:r>
    </w:p>
    <w:p>
      <w:pPr>
        <w:spacing w:after="0" w:line="55" w:lineRule="exact"/>
        <w:rPr>
          <w:rFonts w:ascii="Times New Roman" w:cs="Times New Roman" w:eastAsia="Times New Roman" w:hAnsi="Times New Roman"/>
          <w:sz w:val="12"/>
          <w:szCs w:val="12"/>
          <w:color w:val="008000"/>
        </w:rPr>
      </w:pPr>
    </w:p>
    <w:p>
      <w:pPr>
        <w:ind w:left="20" w:firstLine="2"/>
        <w:spacing w:after="0" w:line="241"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Under Mr. Harwin's arrangement with Fairmount Funds Management LLC ("Fairmount"), Mr. Harwin holds the option for one or more investment vehicles managed by Fairmount (each, a "Fairmount Fund"). Mr. Harwin is obligated to turn over to Fairmount any net cash or stock received from the option for the benefit of such Fairmount Fund. Mr. Harwin therefore disclaims beneficial ownership of the option and underlying common stock. Fairmount disclaims beneficial ownership of any of the reported securities, except to the extent of its pecuniary interest therein.</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20" w:right="80"/>
        <w:spacing w:after="0" w:line="255" w:lineRule="auto"/>
        <w:rPr>
          <w:sz w:val="20"/>
          <w:szCs w:val="20"/>
          <w:color w:val="auto"/>
        </w:rPr>
      </w:pPr>
      <w:r>
        <w:rPr>
          <w:rFonts w:ascii="Times New Roman" w:cs="Times New Roman" w:eastAsia="Times New Roman" w:hAnsi="Times New Roman"/>
          <w:sz w:val="13"/>
          <w:szCs w:val="13"/>
          <w:color w:val="008000"/>
        </w:rPr>
        <w:t>Fairmount, Fairmount Healthcare Fund II LP and Fairmount Healthcare Co-Invest III L.P. may each be deemed a director by deputization of the Issuer by virtue of the fact that Peter Harwin serves on the board of directors of the Issuer and is a manager of Fairmount.</w:t>
      </w:r>
    </w:p>
    <w:p>
      <w:pPr>
        <w:sectPr>
          <w:pgSz w:w="11900" w:h="16838" w:orient="portrait"/>
          <w:cols w:equalWidth="0" w:num="1">
            <w:col w:w="10900"/>
          </w:cols>
          <w:pgMar w:left="480" w:top="114" w:right="519" w:bottom="1440" w:gutter="0" w:footer="0" w:header="0"/>
        </w:sectPr>
      </w:pPr>
    </w:p>
    <w:p>
      <w:pPr>
        <w:spacing w:after="0" w:line="4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Peter Harwin,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-8890</wp:posOffset>
            </wp:positionV>
            <wp:extent cx="11766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176655" cy="8255"/>
                    </a:xfrm>
                    <a:prstGeom prst="rect">
                      <a:avLst/>
                    </a:prstGeom>
                    <a:noFill/>
                  </pic:spPr>
                </pic:pic>
              </a:graphicData>
            </a:graphic>
          </wp:anchor>
        </w:drawing>
      </w:r>
    </w:p>
    <w:p>
      <w:pPr>
        <w:spacing w:after="0" w:line="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Member of Fairmount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-8890</wp:posOffset>
            </wp:positionV>
            <wp:extent cx="12331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233170" cy="8255"/>
                    </a:xfrm>
                    <a:prstGeom prst="rect">
                      <a:avLst/>
                    </a:prstGeom>
                    <a:noFill/>
                  </pic:spPr>
                </pic:pic>
              </a:graphicData>
            </a:graphic>
          </wp:anchor>
        </w:drawing>
      </w:r>
    </w:p>
    <w:p>
      <w:pPr>
        <w:spacing w:after="0" w:line="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-15875</wp:posOffset>
            </wp:positionV>
            <wp:extent cx="7829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3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Peter Harwin,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-8890</wp:posOffset>
            </wp:positionV>
            <wp:extent cx="11766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176655" cy="8255"/>
                    </a:xfrm>
                    <a:prstGeom prst="rect">
                      <a:avLst/>
                    </a:prstGeom>
                    <a:noFill/>
                  </pic:spPr>
                </pic:pic>
              </a:graphicData>
            </a:graphic>
          </wp:anchor>
        </w:drawing>
      </w:r>
    </w:p>
    <w:p>
      <w:pPr>
        <w:spacing w:after="0" w:line="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Member of Fairmount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-15875</wp:posOffset>
            </wp:positionV>
            <wp:extent cx="9461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9461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Healthcare Fund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-15875</wp:posOffset>
            </wp:positionV>
            <wp:extent cx="9963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996315" cy="8255"/>
                    </a:xfrm>
                    <a:prstGeom prst="rect">
                      <a:avLst/>
                    </a:prstGeom>
                    <a:noFill/>
                  </pic:spPr>
                </pic:pic>
              </a:graphicData>
            </a:graphic>
          </wp:anchor>
        </w:drawing>
      </w:r>
    </w:p>
    <w:p>
      <w:pPr>
        <w:spacing w:after="0" w:line="3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Peter Harwin,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-8890</wp:posOffset>
            </wp:positionV>
            <wp:extent cx="11766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176655" cy="8255"/>
                    </a:xfrm>
                    <a:prstGeom prst="rect">
                      <a:avLst/>
                    </a:prstGeom>
                    <a:noFill/>
                  </pic:spPr>
                </pic:pic>
              </a:graphicData>
            </a:graphic>
          </wp:anchor>
        </w:drawing>
      </w:r>
    </w:p>
    <w:p>
      <w:pPr>
        <w:spacing w:after="0" w:line="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Member of Fairmount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-15875</wp:posOffset>
            </wp:positionV>
            <wp:extent cx="9461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9461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Healthcare Co-Invest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-8890</wp:posOffset>
            </wp:positionV>
            <wp:extent cx="12179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2179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4851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4851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4851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65" w:lineRule="exact"/>
        <w:rPr>
          <w:sz w:val="20"/>
          <w:szCs w:val="20"/>
          <w:color w:val="auto"/>
        </w:rPr>
      </w:pPr>
    </w:p>
    <w:p>
      <w:pPr>
        <w:sectPr>
          <w:pgSz w:w="11900" w:h="16838" w:orient="portrait"/>
          <w:cols w:equalWidth="0" w:num="2">
            <w:col w:w="8520" w:space="260"/>
            <w:col w:w="2120"/>
          </w:cols>
          <w:pgMar w:left="480" w:top="114" w:right="519" w:bottom="1440" w:gutter="0" w:footer="0" w:header="0"/>
          <w:type w:val="continuous"/>
        </w:sectPr>
      </w:pPr>
    </w:p>
    <w:tbl>
      <w:tblPr>
        <w:tblLayout w:type="fixed"/>
        <w:tblInd w:w="658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Peter Harwin</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06/03/2025</w:t>
            </w:r>
          </w:p>
        </w:tc>
      </w:tr>
      <w:tr>
        <w:trPr>
          <w:trHeight w:val="20"/>
        </w:trPr>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8"/>
        </w:trPr>
        <w:tc>
          <w:tcPr>
            <w:tcW w:w="1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Tomas Kiselak</w:t>
            </w:r>
          </w:p>
        </w:tc>
        <w:tc>
          <w:tcPr>
            <w:tcW w:w="100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06/03/2025</w:t>
            </w: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20" w:right="3440" w:firstLine="2"/>
        <w:spacing w:after="0" w:line="336" w:lineRule="auto"/>
        <w:tabs>
          <w:tab w:leader="none" w:pos="15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14"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8"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13" Type="http://schemas.openxmlformats.org/officeDocument/2006/relationships/hyperlink" Target="http://www.sec.gov/cgi-bin/browse-edgar?action=getcompany&amp;CIK=0001802528" TargetMode="External"/><Relationship Id="rId14" Type="http://schemas.openxmlformats.org/officeDocument/2006/relationships/hyperlink" Target="http://www.sec.gov/cgi-bin/browse-edgar?action=getcompany&amp;CIK=0000907654" TargetMode="External"/><Relationship Id="rId17" Type="http://schemas.openxmlformats.org/officeDocument/2006/relationships/hyperlink" Target="http://www.sec.gov/cgi-bin/browse-edgar?action=getcompany&amp;CIK=0001769651" TargetMode="External"/><Relationship Id="rId19" Type="http://schemas.openxmlformats.org/officeDocument/2006/relationships/hyperlink" Target="http://www.sec.gov/cgi-bin/browse-edgar?action=getcompany&amp;CIK=0002009690" TargetMode="External"/><Relationship Id="rId20" Type="http://schemas.openxmlformats.org/officeDocument/2006/relationships/hyperlink" Target="http://www.sec.gov/cgi-bin/browse-edgar?action=getcompany&amp;CIK=0001663607" TargetMode="External"/><Relationship Id="rId21" Type="http://schemas.openxmlformats.org/officeDocument/2006/relationships/hyperlink" Target="http://www.sec.gov/cgi-bin/browse-edgar?action=getcompany&amp;CIK=00018301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2025-06-03T15:37:39Z</dcterms:created>
  <dcterms:modified xsi:type="dcterms:W3CDTF">2025-06-03T15:37:39Z</dcterms:modified>
</cp:coreProperties>
</file>