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14,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333-290715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36-3855489</w:t>
            </w:r>
          </w:p>
        </w:tc>
      </w:tr>
      <w:tr>
        <w:trPr>
          <w:trHeight w:val="198"/>
        </w:trPr>
        <w:tc>
          <w:tcPr>
            <w:tcW w:w="552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855 Oak Grove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606-7910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Paul Quinlan</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855 Oak Grove Avenue</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(650) 606-7910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Alan F. Denenberg</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Elizabeth W. LeBow</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900 Middlefield Road</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Redwood City, CA 94063</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08"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ind w:right="3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jc w:val="both"/>
        <w:ind w:right="640"/>
        <w:spacing w:after="0" w:line="254"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49" w:lineRule="exact"/>
        <w:rPr>
          <w:sz w:val="24"/>
          <w:szCs w:val="24"/>
          <w:color w:val="auto"/>
        </w:rPr>
      </w:pPr>
    </w:p>
    <w:p>
      <w:pPr>
        <w:sectPr>
          <w:pgSz w:w="11900" w:h="16838" w:orient="portrait"/>
          <w:cols w:equalWidth="0" w:num="4">
            <w:col w:w="2100" w:space="720"/>
            <w:col w:w="2080" w:space="720"/>
            <w:col w:w="2100" w:space="720"/>
            <w:col w:w="2800"/>
          </w:cols>
          <w:pgMar w:left="320" w:top="225" w:right="339" w:bottom="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RULE 429</w:t>
      </w:r>
    </w:p>
    <w:p>
      <w:pPr>
        <w:spacing w:after="0" w:line="108" w:lineRule="exact"/>
        <w:rPr>
          <w:sz w:val="24"/>
          <w:szCs w:val="24"/>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Rule 429 under the Securities Act of 1933, as amended (the “Securities Act”), the prospectus included in this registration statement on Form S-3 (the “Registration Statement”) is a combined prospectus relating to this Registration Statement and to the registration statement on Form S-1 (No. 333-283212), initially filed by Oruka Therapeutics, Inc. on November 14, 2024, and declared effective on November 26, 2024, as amended pursuant to a post-effective amendment filed on March 6, 2025 (the “Initial Registration Statement”). The Initial Registration Statement related to the resale of up to 8,719,000 shares of Common Stock by selling stockholders. This Registration Statement is a combined prospectus that relates to and will be used in connection with the proposed resale or other disposition by the Selling Stockholders (as defined below) of up to:</w:t>
      </w:r>
    </w:p>
    <w:p>
      <w:pPr>
        <w:spacing w:after="0" w:line="66" w:lineRule="exact"/>
        <w:rPr>
          <w:sz w:val="24"/>
          <w:szCs w:val="24"/>
          <w:color w:val="auto"/>
        </w:rPr>
      </w:pPr>
    </w:p>
    <w:p>
      <w:pPr>
        <w:ind w:left="660" w:right="1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7,083,000 shares of Common Stock in respect of the September 2024 Private Placement Common Shares (as defined below) (including shares of Common Stock that were issued upon the conversion of shares of Series A preferred stock into shares of Common Stock in November 2024);</w:t>
      </w:r>
    </w:p>
    <w:p>
      <w:pPr>
        <w:sectPr>
          <w:pgSz w:w="11900" w:h="16838" w:orient="portrait"/>
          <w:cols w:equalWidth="0" w:num="1">
            <w:col w:w="11240"/>
          </w:cols>
          <w:pgMar w:left="320" w:top="225" w:right="339" w:bottom="0" w:gutter="0" w:footer="0" w:header="0"/>
          <w:type w:val="continuous"/>
        </w:sectPr>
      </w:pPr>
    </w:p>
    <w:bookmarkStart w:id="1" w:name="page2"/>
    <w:bookmarkEnd w:id="1"/>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680,000 shares of Common Stock issuable upon the exercise of the September 2024 Pre-Funded Warrants (as defined below);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10,933,405 shares of Common Stock in respect of the September 2025 Private Placement Common Shares (as defined below);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1,066,666 shares of Common Stock issuable upon the exercise of the September 2025 Pre-Funded Warrants (as defined below);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19,662,735 shares of Common Stock in respect of the Additional Fairmount Holdings (as defined below).</w:t>
      </w:r>
    </w:p>
    <w:p>
      <w:pPr>
        <w:spacing w:after="0" w:line="10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securities listed in (i) and (ii) above were previously registered on the Initial Registration Statement. To the registrant’s knowledge, all of the securities listed in (i) and (ii) above have not been sold or otherwise disposed of by the Selling Stockholders. This registration statement shall constitute a post-effective amendment to the Initial Registration Statement, and such post-effective amendment shall hereafter become effective concurrently with the effectiveness of this Registration Statement and in accordance with Section 8(c) of the Securities Act.</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Amendment No. 1 (“Amendment No. 1”) to the Registration Statement on Form S-3 (Registration No. 333-290715) of Oruka Therapeutics, Inc. is being filed solely for the purpose of including language provided by Rule 473(b) of the Securities Act of 1933 for the automatic effectiveness of this registration statement 20 days following the filing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3" w:name="page4"/>
    <w:bookmarkEnd w:id="3"/>
    <w:p>
      <w:pPr>
        <w:ind w:right="2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114300</wp:posOffset>
            </wp:positionV>
            <wp:extent cx="1928495" cy="711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39,425,806 Shares of Common Stock</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162" w:lineRule="exact"/>
        <w:rPr>
          <w:sz w:val="20"/>
          <w:szCs w:val="20"/>
          <w:color w:val="auto"/>
        </w:rPr>
      </w:pPr>
    </w:p>
    <w:p>
      <w:pPr>
        <w:ind w:right="200" w:firstLine="324"/>
        <w:spacing w:after="0" w:line="270" w:lineRule="auto"/>
        <w:rPr>
          <w:sz w:val="20"/>
          <w:szCs w:val="20"/>
          <w:color w:val="auto"/>
        </w:rPr>
      </w:pPr>
      <w:r>
        <w:rPr>
          <w:rFonts w:ascii="Times New Roman" w:cs="Times New Roman" w:eastAsia="Times New Roman" w:hAnsi="Times New Roman"/>
          <w:sz w:val="17"/>
          <w:szCs w:val="17"/>
          <w:color w:val="auto"/>
        </w:rPr>
        <w:t>This prospectus relates to the proposed resale or other disposition by the selling stockholders identified herein (the “Selling Stockholders”) of up to 39,425,806 of shares of Common Stock, consisting of up to (i) 7,083,000 shares (the “September 2024 Private Placement Common Shares”) of Common Stock (including shares of Common Stock that were issued upon the conversion of shares of Series A Preferred Stock into shares of Common Stock in November 2024), (ii) 680,000 shares of Common Stock issuable upon the exercise of pre-funded warrants (the “September 2024 Pre-Funded Warrants”),</w:t>
      </w:r>
    </w:p>
    <w:p>
      <w:pPr>
        <w:spacing w:after="0" w:line="3" w:lineRule="exact"/>
        <w:rPr>
          <w:sz w:val="20"/>
          <w:szCs w:val="20"/>
          <w:color w:val="auto"/>
        </w:rPr>
      </w:pPr>
    </w:p>
    <w:p>
      <w:pPr>
        <w:ind w:right="80" w:firstLine="8"/>
        <w:spacing w:after="0" w:line="25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10,933,405 shares of Common Stock (the “September 2025 Private Placement Common Shares”), (iv) 1,066,666 shares of Common Stock issuable upon the exercise of pre-funded warrants (the “September 2025 Pre-Funded Warrants”), and (v) 19,662,735 shares of Common Stock in respect of the Additional Fairmount Holdings (as defined below). The “Additional Fairmount Holdings” consist of (i) 2,936,922 shares of Common Stock, (ii) 5,297,664 shares of Common Stock issuable upon the exercise of pre-funded warrants and (iii) 11,428,149 shares of Common Stock issuable upon the conversion of 137,138 shares of Series B Preferred Stock. The shares of Common Stock registered by this prospectus are referred to herein as the “Resale Shares.”</w:t>
      </w:r>
    </w:p>
    <w:p>
      <w:pPr>
        <w:spacing w:after="0" w:line="11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The September 2024 Private Placement Common Shares and September 2024 Pre-Funded Warrants were issued and sold to institutional and accredited investors in a private placement (the “September 2024 PIPE”), which closed on September 13, 2024. The September 2025 Private Placement Common Shares and September 2025 Pre-Funded Warrants were issued and sold to institutional and accredited investors in a private placement (the “September</w:t>
      </w:r>
    </w:p>
    <w:p>
      <w:pPr>
        <w:spacing w:after="0" w:line="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2025 PIPE”), which closed on September 19, 2025. The Additional Fairmount Holdings comprise certain securities issued and sold in private placement transactions in connection with the formation of our Company and the Pre-Closing Financing (as defined below). We are not selling any Resale Shares under this prospectus and will not receive any of the proceeds from the sale or other disposition of Resale Shares by the Selling Stockholders. Upon any exercise of the pre-funded warrants by payment of cash, however, we will receive the nominal cash exercise price paid by the holders of the pre-funded warrants. We intend to use those proceeds, if any, for general corporate purposes.</w:t>
      </w:r>
    </w:p>
    <w:p>
      <w:pPr>
        <w:spacing w:after="0" w:line="11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11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Discounts, concessions, commissions and similar selling expenses attributable to the sale of the Resale Shares will be borne by the Selling Stockholder. We will pay certain fees and expenses (other than discounts, concessions, commissions and similar selling expenses) incident to the registration of the Resale Shares with the U.S. Securities and Exchange Commission (“SEC”).</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before you invest in any of the securities being offered.</w:t>
      </w:r>
    </w:p>
    <w:p>
      <w:pPr>
        <w:spacing w:after="0" w:line="15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“ORKA.” On October 2, 2025, the last reported sale price for our Common Stock was $19.18 per share.</w:t>
      </w:r>
    </w:p>
    <w:p>
      <w:pPr>
        <w:spacing w:after="0" w:line="94"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71120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“Risk Factors” on page 4 of this prospectus and any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69850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6"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by Rule 12b-2 of the Exchange Act and are subject to reduced public company reporting requirements.</w:t>
      </w:r>
    </w:p>
    <w:p>
      <w:pPr>
        <w:spacing w:after="0" w:line="87"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 2025.</w:t>
            </w:r>
          </w:p>
        </w:tc>
      </w:tr>
      <w:tr>
        <w:trPr>
          <w:trHeight w:val="466"/>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987"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53"/>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0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0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740" w:type="dxa"/>
            <w:vAlign w:val="bottom"/>
            <w:tcBorders>
              <w:bottom w:val="single" w:sz="8" w:color="CCEEFF"/>
            </w:tcBorders>
            <w:gridSpan w:val="6"/>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960" w:type="dxa"/>
            <w:vAlign w:val="bottom"/>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00" w:type="dxa"/>
            <w:vAlign w:val="bottom"/>
            <w:tcBorders>
              <w:bottom w:val="single" w:sz="8" w:color="CCEEFF"/>
            </w:tcBorders>
            <w:gridSpan w:val="9"/>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60" w:type="dxa"/>
            <w:vAlign w:val="bottom"/>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960" w:type="dxa"/>
            <w:vAlign w:val="bottom"/>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5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780" w:type="dxa"/>
            <w:vAlign w:val="bottom"/>
            <w:tcBorders>
              <w:top w:val="single" w:sz="8" w:color="CCEEFF"/>
            </w:tcBorders>
            <w:gridSpan w:val="7"/>
          </w:tcPr>
          <w:p>
            <w:pPr>
              <w:spacing w:after="0"/>
              <w:rPr>
                <w:sz w:val="15"/>
                <w:szCs w:val="15"/>
                <w:color w:val="auto"/>
              </w:rPr>
            </w:pPr>
          </w:p>
        </w:tc>
        <w:tc>
          <w:tcPr>
            <w:tcW w:w="6960" w:type="dxa"/>
            <w:vAlign w:val="bottom"/>
            <w:tcBorders>
              <w:top w:val="single" w:sz="8" w:color="CCEEFF"/>
            </w:tcBorders>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260" w:type="dxa"/>
            <w:vAlign w:val="bottom"/>
            <w:tcBorders>
              <w:bottom w:val="single" w:sz="8" w:color="CCEEFF"/>
            </w:tcBorders>
            <w:gridSpan w:val="10"/>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960" w:type="dxa"/>
            <w:vAlign w:val="bottom"/>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00" w:type="dxa"/>
            <w:vAlign w:val="bottom"/>
            <w:tcBorders>
              <w:bottom w:val="single" w:sz="8" w:color="CCEEFF"/>
            </w:tcBorders>
            <w:gridSpan w:val="2"/>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28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1440" w:type="dxa"/>
            <w:vAlign w:val="bottom"/>
            <w:gridSpan w:val="3"/>
          </w:tcPr>
          <w:p>
            <w:pPr>
              <w:spacing w:after="0"/>
              <w:rPr>
                <w:sz w:val="15"/>
                <w:szCs w:val="15"/>
                <w:color w:val="auto"/>
              </w:rPr>
            </w:pPr>
          </w:p>
        </w:tc>
        <w:tc>
          <w:tcPr>
            <w:tcW w:w="6960" w:type="dxa"/>
            <w:vAlign w:val="bottom"/>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offer and sale of securities by the Selling Stockholders, the Selling Stockholders may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Any such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or free writing prospectuses, together with the additional information described under the section titled “Where You Can Find More Information” and “Information Incorporated by Reference.”</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or to make any representations other than those contained or incorporated by reference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“Oruka,” “ARCA biopharma, Inc.,” “the Company,” “we,” “us,” and “our” refer to Oruka Therapeutics, Inc., a Delaware corporation, and its consolidated subsidiaries taken as a whole.</w:t>
      </w:r>
    </w:p>
    <w:p>
      <w:pPr>
        <w:spacing w:after="0" w:line="162"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All references to “our product candidates,” “our programs” and “our pipeline” in this prospectus refer to the research programs with respect to which we have exercised the option to acquire intellectual property license rights to pursuant to those certain antibody discovery and option agreements by and among the Company, Paragon Therapeutics, Inc. and Paruka Holding LLC.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as well as the documents we have filed with the SEC incorporated by reference herein contain “forward-looking statements” within the meaning of Section 27A of the Securities Act of 1933, as amended (the “Securities Act”) and Section 21E of the Securities Exchange Act of 1934, as amended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in their entirety, many of these risks and uncertainties under the section titled “Risk Factors” contained in any applicable prospectus supplement or in any free writing prospectus and in our most recent Annual Report on Form 10-K and Quarterly Reports on Form 10-Q,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any applicable prospectus supplement and the documents incorporated by reference herein in the context of these risks and uncertainties. We caution you that the risks, uncertainties and other factors referred to in this prospectus, any applicable prospectus supplement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spacing w:after="0" w:line="19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any applicable prospectus supplement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herein or to reflect the occurrence of unanticipated events, except as may be required under applicable U.S. securities laws. You should read this prospectus, and any applicable prospectus supplement,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37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5379085"/>
                    </a:xfrm>
                    <a:prstGeom prst="rect">
                      <a:avLst/>
                    </a:prstGeom>
                    <a:noFill/>
                  </pic:spPr>
                </pic:pic>
              </a:graphicData>
            </a:graphic>
          </wp:anchor>
        </w:drawing>
        <w:t>PROSPECTUS SUMMARY</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you should consider before investing in securities. This summary is qualified in its entirety by the more detailed information included or incorporated by reference in this prospectus. Before making your investment decision with respect to our securities, you should carefully read this entire prospectus, any applicable prospectus supplement and the documents referred to in “Where You Can Find More Information” and “Information Incorporated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for the treatment of PsO. Our co-lead program, ORKA-002, is designed to target interleukin-17A and interleukin-17F for the treatment of PsO, psoriatic arthritis,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Interim Phase 1 Results for ORKA-001</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September 2025, we announced interim Phase 1 results from a first-in-human, randomized, double-blind, placebo-controlled trial of ORKA-001 in healthy volunteers. The study enrolled 24 healthy adult participants into three single ascending subcutaneous dose cohorts of 300 mg, 600 mg, and 1200 mg. ORKA-001 showed a half-life of approximately 100 days, greater than three times that of risankizumab, and a Cmax that exceeded risankizumab at an equivalent dose, based on previously reported risankizumab data. We believe these properties increase the likelihood of achieving once-yearly maintenance dosing and demonstrate comparable exposures to the KNOCKOUT study. Single doses of ORKA-001 demonstrated complete and sustained inhibition of STAT3 signaling, a downstream marker of IL-23 activity, in an ex vivo assay through 24 weeks (the longest follow-up available). ORKA-001 was well tolerated at all dose levels, with a favorable safety profile consistent with the anti-IL-23 class. There were no severe treatment-emergent adverse events (“TEAEs”) or serious adverse events. The only TEAEs to occur in more than two subjects were headache, upper respiratory tract infections, and transient erythema at the injection site. The study remains blinded, and as of August 6, 2025, which was the data cutoff date, all subjects remained on study.</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122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8122285"/>
                    </a:xfrm>
                    <a:prstGeom prst="rect">
                      <a:avLst/>
                    </a:prstGeom>
                    <a:noFill/>
                  </pic:spPr>
                </pic:pic>
              </a:graphicData>
            </a:graphic>
          </wp:anchor>
        </w:drawing>
        <w:t>EVERLAST Phase 2 Trials of ORKA-001 in Plaque Psoriasis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third quarter of 2025, we commenced dosing in a Phase 2a clinical trial of ORKA-001 in patients with moderate-to-severe PsO (“EVERLAST-A”). We expect to share efficacy and response duration data from this study in the second half of 2026. EVERLAST-A is expected to enroll approximately 80 patients randomized 3:1 to receive 600 mg ORKA-001 at Week 0 and 4 or matching placebo. The primary endpoint is PASI 100 at Week 16. ORKA-001 exposures are expected to match or exceed exposures in the KNOCKOUT study, testing whether higher antibody exposures can lead to greater efficacy. At Week 28, patients who have achieved PASI 100, or completely clear skin, will be randomized 2:1 to an arm where either (i) they do not receive another dose until disease recurrence or (ii) they receive 300 mg ORKA-001 every six months. The “no-dose” arm will evaluate the possibility of both yearly dosing and extended off-treatment remissions (defined in the literature as clear skin over one year from last administration of a therapeutic). Patients who have not achieved PASI 100 at Week 28 will receive 300 mg ORKA-001 every six months. At Week 16, patients receiving placebo will cross over to 600 mg ORKA-001 at Week 16 and 20, followed by once-yearly dosing of ORKA-001 in an open label extension, providing additional data on the efficacy of yearly dosing.</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we expect to initiate a dose-ranging Phase 2b trial of ORKA-001 in moderate-to-severe PsO patients (“EVERLAST-B”) in the first half of 2026. EVERLAST-B will evaluate three dose levels of ORKA-001: 37.5 mg at Week 0, 300 mg at Weeks 0 and 4, and 600 mg at Weeks 0 and 4, versus placebo. The primary endpoint is PASI 100 at Week 16. To expedite development, EVERLAST-B is expected to begin enrolling before the completion of EVERLAST-A.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of Our Company</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March 6, 2024, Pre-Merger Oruka (as defined below) (i) issued and sold an aggregate of 20,000,000 shares of Series A preferred stock (“Pre-Merger Oruka Series A Preferred Stock”) to entities affiliated with Fairmount Funds Management LLC (“Fairmount”) and (ii) issued a convertible note (the “Convertible Note”) with an initial principal amount of $25.0 million at an interest rate of 12% per annum. Fairmount contributed the aggregate principal amount of $25.0 million and all accrued interest under the Convertible Note (in addition to additional funding) in exchange for Pre-Merger Oruka Common Stock and Pre-Merger Oruka pre-funded warrants in connection with the Pre-Closing Financing (as defined below), immediately prior to the completion of the Merger (as defined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Related Financing</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“Merger Closing”), we completed our acquisition (the “Merger”) of Pre-Merger Oruka pursuant to an Agreement and Plan of Merger and Reorganization, dated as of April 3, 2024 (the “Merger Agreement”) between Oruka Therapeutics, Inc. (“Pre-Merger Oruka”) and certain new and existing investors of Pre-Merger Oruka.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for the purposes of holding rights to certain intellectual property being developed by Paragon Therapeutics, Inc. On August 29, 2024, we changed our name from “ARCA biopharma, Inc.” (“ARCA”) to “Oruka Therapeutics, Inc.” and our Nasdaq ticker symbol from “ABIO” to “ORKA”.</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on April 3, 2024, certain new and existing investors of Pre-Merger Oruka entered into a subscription agreement with Pre-Merger Oruka (the “Subscription Agreement”), pursuant to which, and on the terms and subject to the conditions of which, immediately prior to the Merger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(the “Pre-Closing Financing”). At the Merger Closing, the shares of Pre-Merger Oruka Common Stock and Pre-Merger Oruka pre-funded warrants issued pursuant to the Subscription Agreement were converted into shares of Company Common Stock and pre-funded warrants to purchase Company Common Stock in accordance with the Exchange Ratio (as defined in the Company’s Annual Report on Form 10-K).</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part of the Pre-Closing Financing and the Merger Closing, entities affiliated with Fairmount received 2,936,922 shares of Company Common Stock in exchange for 5,139,797 shares of Pre-Merger Oruka Common Stock (which includes the issuance of 363,614 shares of Company Common Stock in exchange for 636,348 shares of Pre-Merger Oruka Common Stock upon the conversion of the Convertible Note along with the accrued interest through the conversion date) and 5,297,664 Company pre-funded warrants in exchange for 9,271,241 Pre-Merger pre-funded warrants.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Merger Closing, 20,000,000 outstanding shares of Pre-Merger Oruka Series A Preferred Stock (all of which was held by entities affiliated with Fairmount) were converted into 137,138 shares of Series B Preferred Stock of the Company. Subject to certain beneficial ownership limitations, each share of Series B Preferred Stock is convertible at the option of the holder, at any time, into shares of Common Stock at a ratio of approximately 83.3332:1.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9"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400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4007485"/>
                    </a:xfrm>
                    <a:prstGeom prst="rect">
                      <a:avLst/>
                    </a:prstGeom>
                    <a:noFill/>
                  </pic:spPr>
                </pic:pic>
              </a:graphicData>
            </a:graphic>
          </wp:anchor>
        </w:drawing>
        <w:t>PIPE Financings</w:t>
      </w:r>
    </w:p>
    <w:p>
      <w:pPr>
        <w:spacing w:after="0" w:line="22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On September 11, 2024, we entered into a Securities Purchase Agreement (the “2024 Securities Purchase Agreement”) for a private placement (the “2024 PIPE Financing”) with certain institutional and accredited investors. The closing of the 2024 PIPE Financing occurred on September 13, 2024.</w:t>
      </w:r>
    </w:p>
    <w:p>
      <w:pPr>
        <w:spacing w:after="0" w:line="14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2024 Securities Purchase Agreement, certain investors purchased an aggregate of 5,600,000 shares of Common Stock at a price of $23.00 per share, an aggregate of 2,439 shares of Series A Preferred Stock, at a price of $23,000.00 per share, and pre-funded warrants to purchase an aggregate of 680,000 shares of Common Stock at a price of $22.999 per pre-funded warrant. In November 2024, each outstanding share of Series A Preferred Stock automatically converted into 1,000 shares of Common Stock.</w:t>
      </w:r>
    </w:p>
    <w:p>
      <w:pPr>
        <w:spacing w:after="0" w:line="180"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On September 17, 2025, we entered into a Securities Purchase Agreement (the “2025 Securities Purchase Agreement”) for a private placement (the “2025 PIPE Financing”) with certain institutional and accredited investors. The closing of the 2025 PIPE Financing occurred on September 19, 2025.</w:t>
      </w:r>
    </w:p>
    <w:p>
      <w:pPr>
        <w:spacing w:after="0" w:line="140"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Pursuant to the 2025 Securities Purchase Agreement, certain investors purchased an aggregate of 10,933,405 shares of Common Stock at a price of $15.00 per share and pre-funded warrants to purchase an aggregate of 1,066,666 shares of Common Stock at a price of $14.999 per pre-funded warrant.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855 Oak Grove Ave., Suite 100, Menlo Park, California 94025, and our telephone number is (650) 606-7910. Our website address is www.orukatx.com. Information contained on, or accessible through, our website is not incorporated by reference into this prospectus and the inclusion of our website address in this prospectus is an inactive textual reference only.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spacing w:after="0" w:line="187"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making an investment decision, you should carefully consider the risk factors incorporated by reference from our most recent Annual Report on Form 10-K,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If any of these risks actually occur, our business, operating results and financial condition could be materially and adversely impacted, the market price of our Common Stock could decline and you could lose all or part of your investment. The risks and uncertainties described are not the only ones we face. Additional risks and uncertainties not presently known to us or that we currently deem immaterial may also impair our business operations and financial results and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by the Selling Stockholders</w:t>
      </w:r>
    </w:p>
    <w:p>
      <w:pPr>
        <w:spacing w:after="0" w:line="22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of the securities registered for resale hereunder and future sales of substantial amounts of our securities in the public market (including the shares of Common Stock issuable upon the conversion of Series B Preferred Stock and issuable upon exercise of pre-funded warrants), or the perception that such sales may occur, may cause the market price of our Common Stock to decline significantly.</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Resale Shares represent a substantial percentage of our total outstanding Common Stock as of the date of this prospectus. The Resale Shares being offered for resale in this prospectus represent approximately 59% of our total outstanding Common Stock as of September 19, 2025, assuming the exercise of the pre-funded warrants and the conversion of all shares of Series B Preferred Stock into shares of Common Stock. Further, certain Selling Stockholders beneficially own a significant percentage of our Company. As of September 19, 2025, entities affiliated with Fairmount Funds Management LLC beneficially own 20,431,075 shares of our Common Stock, or approximately 42.2% of our Common Stock, assuming the exercise of all pre-funded warrants held by such entities, and the conversion of all outstanding shares of Series B Preferred Stock held by such entities into shares of Common Stock, without giving effect to contractual limitations contained in such securities that restrict the holder (together with its affiliates) from beneficially owning in excess of a specified percentage of our common stock, and without giving effect to the exercise or conversion of any securities exercisable or convertible into Common Stock owned by other stockholders.</w:t>
      </w:r>
    </w:p>
    <w:p>
      <w:pPr>
        <w:spacing w:after="0" w:line="18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sale of the Resale Shares in the public market, or the perception that holders of a large number of securities intend to sell their securities, could significantly reduce the market price of our Common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if and when the Selling Stockholders may sell such shares in the public markets. Furthermore, in the future, we may issue additional shares of Common Stock or other equity or debt securities convertible into shares of Common Stock. Any such issuance could result in substantial dilution to our existing stockholders and could cause our stock price to decline.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 Some of the shares of Common Stock offered hereby are issuable upon the exercise of pre-funded warrants. Upon exercise of such pre-funded warrants for cash, we will receive the nominal cash exercise price paid by the holders of the pre-funded warrants. We intend to use those proceeds, if any, for general corporate purposes.</w:t>
      </w:r>
    </w:p>
    <w:p>
      <w:pPr>
        <w:spacing w:after="0" w:line="16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well as other material terms of certain provisions of the Delaware General Corporation Law (the “DGCL”), our second amended and restated certificate of incorporation (“Certificate of Incorporation”) and amended and restated bylaws (“Bylaws”), both of which have been filed with the SEC, and are incorporated by reference herein. See “Where You Can Find More Information” for information on how to obtain copies. This summary does not purport to be complete and is qualified in its entirety by the provisions of our Certificate of Incorporation and Bylaws. We encourage you to read our Certificate of Incorporation, our Bylaws, and the applicable provisions of the DGCL for more information.</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545,000,000 shares of Common Stock, $0.001 par value per share, and 5,000,000 shares of preferred stock, $0.001 par value per share (“Preferred Stock”), of which 251,504 shares have been designated as Series B Preferred Stock, $0.001 par value per share.</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were 37,450,745 shares of our Common Stock, 137,138 shares of Series B Preferred Stock, and no shares of Series A Preferred Stock outstanding.</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 September 19, 2025, we issued an aggregate of 10,933,405 shares of Common Stock at a price per share of $15.00 and pre-funded warrants to purchase an aggregate of 1,066,666 shares of Common Stock at a price of $14.999 per pre-funded warrant in the 2025 PIPE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545,000,000 shares of Common Stock. All outstanding shares of Common Stock are validly issued, fully paid and nonassessable.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(“Board”), in its discretion, determines to issue dividends and then only at the times and in the amounts that our Board may determine.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Pursuant to our Bylaws, 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divided into three classes with staggered three-year terms. Only one class of directors will be elected at each annual meeting of our stockholders, with the other classes continuing for the remainder of their respective three-year terms.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subject to limitations prescribed by Delaware law, to issue up to 5,000,000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the Board can also increase or decrease the number of shares of any series of Preferred Stock, but not below the number of shares of that series then outstanding, without any further vote or action by our stockholders. 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issued shares of our Series A Preferred Stock and shares of our Series B Preferred Stock in connection with the 2024 PIPE Financing and the Merger, respectively, and have no current plan to issue any additional shares of Preferred Stock. In November 2024, all outstanding shares of Series A Preferred Stock automatically converted into shares of Common Stock, at which point there were no shares of Series A Preferred Stock left outstanding.</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Holders of our Series B Preferred Stock are entitled to receive dividends on shares of Series B Preferred Stock equal to, on an as-if-converted-to-common-stock basis, and in the same form as dividends actually paid on shares of our Common Stock. Except as provided in the Series B Certificate of Designation or as otherwise required by law, the Series B Preferred Stock does not have voting rights. However, as long as any shares of Series B Preferred Stock are outstanding, we will not, without the affirmative vote of the holders of a majority of the then outstanding shares of the Series B Preferred Stock:</w:t>
      </w:r>
    </w:p>
    <w:p>
      <w:pPr>
        <w:spacing w:after="0" w:line="3" w:lineRule="exact"/>
        <w:rPr>
          <w:sz w:val="20"/>
          <w:szCs w:val="20"/>
          <w:color w:val="auto"/>
        </w:rPr>
      </w:pPr>
    </w:p>
    <w:p>
      <w:pPr>
        <w:ind w:firstLine="8"/>
        <w:spacing w:after="0" w:line="251"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alter or change adversely the powers, preferences or rights given to the Series B Preferred Stock, (ii) alter or amend the Series B Certificate of Designation, or (iii) amend or repeal any provision of, or add any provision to, our Certificate of Incorporation or Bylaws in a manner that adversely affects any rights of the holders of the Series B Preferred Stock,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(b) issue further shares of Series B Preferred Stock beyond those issued pursuant to the Merger Agreement or increase or decrease (other than by conversion) the number of authorized shares of Series B Preferred Stock, (c) at any time while at least 30% of the originally issued Series B Preferred Stock remains issued and outstanding, consummate either: (x) any Fundamental Transaction (as defined in the Series B Certificate of Designation) or (y) any merger or consolidation of the Company with or into another entity or any stock sale to, or other business combination in which the stockholders of the Company immediately before such transaction do not hold at least a majority of our capital stock immediately after such transaction, or (d) enter into any agreement with respect to any of the foregoing. The Series B Preferred Stock ranks on parity with the Common Stock as to the distribution of assets upon any liquidation, dissolution, or winding-up of the Company. Each share of Series B Preferred Stock is convertible at the option of the holder, at any time, and without the payment of additional consideration by the holder. As of June 30, 2025, each outstanding share of Series B Preferred Stock was convertible into Common Stock at a ratio of approximately 83.3332:1.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Certain holders of our securities are entitled to certain rights with respect to the registration of such securities. In connection with the Subscription Agreement, we entered into a registration rights agreement (the “Merger RRA”) with the investors in the Pre-Closing Financing. On September 13, 2024, we entered into a registration rights agreement (the “2024 RRA”) with the 2024 PIPE Financing investors. Pursuant to the 2024 RRA, we agreed to file a resale registration statement to register the “Registrable Securities” covered by the 2024 RRA. On September 17, 2025 we entered into a registration rights agreement (the “2025 RRA”) with the 2025 PIPE Financing investors. Pursuant to the 2025 RRA, we agreed to file a resale registration statement to register the “Registrable Securities” covered by the 2025 RRA. This registration statement is being filed to satisfy our obligations under the 2024 RRA, 2025 RRA and certain of our obligations under the Merger RRA. We have agreed to use our commercially reasonable efforts to cause this Registration Statement to be declared effective by the SEC as soon as practicable.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176" w:lineRule="exact"/>
        <w:rPr>
          <w:sz w:val="20"/>
          <w:szCs w:val="20"/>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company, including the following:</w:t>
      </w:r>
    </w:p>
    <w:p>
      <w:pPr>
        <w:spacing w:after="0" w:line="158" w:lineRule="exact"/>
        <w:rPr>
          <w:sz w:val="20"/>
          <w:szCs w:val="20"/>
          <w:color w:val="auto"/>
        </w:rPr>
      </w:pPr>
    </w:p>
    <w:p>
      <w:pPr>
        <w:ind w:left="660" w:right="2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of Directors vacancies</w:t>
      </w:r>
      <w:r>
        <w:rPr>
          <w:rFonts w:ascii="Times New Roman" w:cs="Times New Roman" w:eastAsia="Times New Roman" w:hAnsi="Times New Roman"/>
          <w:sz w:val="18"/>
          <w:szCs w:val="18"/>
          <w:color w:val="auto"/>
        </w:rPr>
        <w:t>. Our Certificate of Incorporation and Bylaws require that the Board, and not stockholders, fill any directorships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vacant or are created by an increase in the authorized number of directors by the affirmative vote of a majority of the remaining directors or by the sole remaining director. In addition, pursuant to our bylaws, the number of directors constituting our Board is permitted to be set only by a resolution adopted by a majority vote of the entire Board. These provisions prevent a stockholder from increasing the size of our Board and then gaining control of the Board by filling the resulting vacancies with its own nominees. This makes it more difficult to change the composition of the Board but promotes continuity of management.</w:t>
      </w:r>
    </w:p>
    <w:p>
      <w:pPr>
        <w:spacing w:after="0" w:line="182"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0"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action; special meetings of stockholders</w:t>
      </w:r>
      <w:r>
        <w:rPr>
          <w:rFonts w:ascii="Times New Roman" w:cs="Times New Roman" w:eastAsia="Times New Roman" w:hAnsi="Times New Roman"/>
          <w:sz w:val="18"/>
          <w:szCs w:val="18"/>
          <w:color w:val="auto"/>
        </w:rPr>
        <w:t>. Our Certificate of Incorporation and Bylaws provide that our stockholders may not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stockholders may be called only by the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2"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provide advance notice procedures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ind w:left="660" w:right="180" w:hanging="328"/>
        <w:spacing w:after="0" w:line="317"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cumulative voting</w:t>
      </w:r>
      <w:r>
        <w:rPr>
          <w:rFonts w:ascii="Times New Roman" w:cs="Times New Roman" w:eastAsia="Times New Roman" w:hAnsi="Times New Roman"/>
          <w:sz w:val="17"/>
          <w:szCs w:val="17"/>
          <w:color w:val="auto"/>
        </w:rPr>
        <w:t>. The DGCL provides that stockholders are not entitled to the right to cumulate votes in the election of directors unless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corporation’s certificate of incorporation provides otherwise. Our Certificate of Incorporation and Bylaws do not provide for cumulative voting.</w:t>
      </w:r>
    </w:p>
    <w:p>
      <w:pPr>
        <w:spacing w:after="0" w:line="131" w:lineRule="exact"/>
        <w:rPr>
          <w:rFonts w:ascii="Times New Roman" w:cs="Times New Roman" w:eastAsia="Times New Roman" w:hAnsi="Times New Roman"/>
          <w:sz w:val="17"/>
          <w:szCs w:val="17"/>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Directors removed only for cause</w:t>
      </w:r>
      <w:r>
        <w:rPr>
          <w:rFonts w:ascii="Times New Roman" w:cs="Times New Roman" w:eastAsia="Times New Roman" w:hAnsi="Times New Roman"/>
          <w:sz w:val="18"/>
          <w:szCs w:val="18"/>
          <w:color w:val="auto"/>
        </w:rPr>
        <w:t>. Our Bylaws provide that stockholders may remove directors only for cause, and only by the affirmative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at least 66 2/3% of the voting power of the stock outstanding and entitled to vote generally in the election of directors.</w:t>
      </w:r>
    </w:p>
    <w:p>
      <w:pPr>
        <w:spacing w:after="0" w:line="154"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charter provisions</w:t>
      </w:r>
      <w:r>
        <w:rPr>
          <w:rFonts w:ascii="Times New Roman" w:cs="Times New Roman" w:eastAsia="Times New Roman" w:hAnsi="Times New Roman"/>
          <w:sz w:val="18"/>
          <w:szCs w:val="18"/>
          <w:color w:val="auto"/>
        </w:rPr>
        <w:t>. Any amendment of the above provisions in our Certificate of Incorporation requires approval by holders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two-thirds of our outstanding Common Stock.</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ind w:left="660" w:right="12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Preferred Stock</w:t>
      </w:r>
      <w:r>
        <w:rPr>
          <w:rFonts w:ascii="Times New Roman" w:cs="Times New Roman" w:eastAsia="Times New Roman" w:hAnsi="Times New Roman"/>
          <w:sz w:val="18"/>
          <w:szCs w:val="18"/>
          <w:color w:val="auto"/>
        </w:rPr>
        <w:t>. Our Board has the authority, without further action by the stockholders, to issue up to 5,000,000 shares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rights and preferences, including voting rights, designated from time to time by our Board. The existence of authorized but unissued shares of Preferred Stock enables our Board to render more difficult or to discourage an attempt to obtain control of us by merger, tender offer, proxy contest or other means.</w:t>
      </w:r>
    </w:p>
    <w:p>
      <w:pPr>
        <w:spacing w:after="0" w:line="176"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Choice of forum</w:t>
      </w:r>
      <w:r>
        <w:rPr>
          <w:rFonts w:ascii="Times New Roman" w:cs="Times New Roman" w:eastAsia="Times New Roman" w:hAnsi="Times New Roman"/>
          <w:sz w:val="18"/>
          <w:szCs w:val="18"/>
          <w:color w:val="auto"/>
        </w:rPr>
        <w:t>. Our Certificate of Incorporation and Bylaws provide that the Court of Chancery of the State of Delaware is the sole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forum for any complaint asserting any internal corporate claims. In addition, our Bylaws also provide that the federal district courts of the United States are the exclusive forum for the resolution of any complaint asserting a cause of action arising under the Securities Act. These choice of forum provisions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Certificate of Incorporation and Bylaws contains the choice of forum provision described above, it is possible that a court could rule that such a provision is inapplicable for a particular claim or action or that such provision is unenforceable.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and Series B Preferred Stock is Computershare Trust Company, N.A. The transfer agent’s address is 150 Royall Street, Suite 101, Canton, MA 02021, and its telephone number is (800) 344-5128.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prospectus covers the resale or other disposition, in one or more offerings, from time to time by the Selling Stockholders identified in the table below of up to:</w:t>
      </w:r>
    </w:p>
    <w:p>
      <w:pPr>
        <w:spacing w:after="0" w:line="162"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7,083,000 shares of Common Stock in respect of the September 2024 Private Placement Common Shares (including shares of Common Stock that were issued upon the conversion of shares of Series A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680,000 shares of Common Stock issuable upon the exercise of the September 2024 Pre-Funded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10,933,405 shares of Common Stock in respect of the September 2025 Private Placement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1,066,666 shares of Common Stock issuable upon the exercise of the September 2025 Pre-Funded Warrants;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19,662,735 shares of Common Stock in respect of the Additional Fairmount Holdings, which includes (i) 2,936,922 shares of Common Stock, (ii) 5,297,664 shares of Common Stock issuable upon the exercise of pre-funded warrants and (iii) 11,428,149 shares of Common Stock issuable upon the conversion of 137,138 shares of Series B Preferred Stock.</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the Resale Shares set forth below pursuant to this prospectus and any accompanying prospectus supplement.</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prospectus covers the resale or other disposition by the Selling Stockholders or their pledgees, donees, transferees or other successors-in-interest that receive their shares after the date of this prospectus of up to the total number of shares of Common Stock, including shares of Common Stock issuable upon the exercise of the pre-funded warrants, or upon the conversion of Series B Preferred Stock.</w:t>
      </w:r>
    </w:p>
    <w:p>
      <w:pPr>
        <w:spacing w:after="0" w:line="17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purposes of the table below, however, we have assumed that after termination of this offering, none of the shares of Common Stock registered for resale under this prospectus will be beneficially owned by the Selling Stockholders, and we have further assumed that the Selling Stockholders will not acquire beneficial ownership of any additional shares of Common Stock during this offering.</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based on representations from the Selling Stockholders,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shares offered hereby. The Selling Stockholders may have sold, transferred or otherwise disposed of some or all of their shares of Common Stock, or may have purchased additional freely-tradeable shares of Common Stock since providing us with this information.</w:t>
      </w:r>
    </w:p>
    <w:p>
      <w:pPr>
        <w:spacing w:after="0" w:line="183" w:lineRule="exact"/>
        <w:rPr>
          <w:sz w:val="20"/>
          <w:szCs w:val="20"/>
          <w:color w:val="auto"/>
        </w:rPr>
      </w:pPr>
    </w:p>
    <w:p>
      <w:pPr>
        <w:jc w:val="both"/>
        <w:ind w:right="260" w:firstLine="324"/>
        <w:spacing w:after="0" w:line="289" w:lineRule="auto"/>
        <w:rPr>
          <w:sz w:val="20"/>
          <w:szCs w:val="20"/>
          <w:color w:val="auto"/>
        </w:rPr>
      </w:pPr>
      <w:r>
        <w:rPr>
          <w:rFonts w:ascii="Times New Roman" w:cs="Times New Roman" w:eastAsia="Times New Roman" w:hAnsi="Times New Roman"/>
          <w:sz w:val="17"/>
          <w:szCs w:val="17"/>
          <w:color w:val="auto"/>
        </w:rPr>
        <w:t>The percentages of Common Stock owned after the offering by each Selling Stockholder below are based on 48,384,150 shares of Common Stock outstanding as of September 19, 2025, and, for each Selling Stockholder, assumes the exercise or conversion of any securities exercisable or convertible into Common Stock owned by such Selling Stockholder but not the exercise or conversion of such securities owned by any other Selling Stockholder.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numbers of shares of Common Stock beneficially owned before the offering presented in the table below gives effect to certain contractual limitations applicable to the pre-funded warrants and the Series B Preferred Stock that may restrict a holder (together with its affiliates) from beneficially owning in excess of a specified percentage of our Common Stock. The number of shares of our Common Stock offered for sale by the Selling Stockholders in this prospectus as presented in the table below does not take into account any such beneficial ownership limitations.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Be</w:t>
            </w: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Pursuant to</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 Name (1)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20" w:type="dxa"/>
            <w:vAlign w:val="bottom"/>
          </w:tcPr>
          <w:p>
            <w:pPr>
              <w:spacing w:after="0"/>
              <w:rPr>
                <w:sz w:val="21"/>
                <w:szCs w:val="21"/>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r>
      <w:tr>
        <w:trPr>
          <w:trHeight w:val="194"/>
        </w:trPr>
        <w:tc>
          <w:tcPr>
            <w:tcW w:w="5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45"/>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Series VII: Fidelity Advisor Biotechnology Fund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737,386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224,172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FIAM TARGET DATE SMALL CAP OPPORTUNITIES COMMINGLED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POOL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Capital Trust: Fidelity Stock Selector Small Cap Fund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378,156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378,156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Securities Fund: Fidelity Series Small Cap Opportunities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491,772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491,772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Select Portfolios: Select Health Care Portfolio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1,103,210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889,354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Advisor Series VII: Fidelity Advisor Health Care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651,590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89,879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561,711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Insurance Products Fund IV: VIP Health Care Portfolio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177,359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42,609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134,750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Select Portfolios: Biotechnology Portfolio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781,283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781,183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Securities Fund: Fidelity Small Cap Growth Fund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651,192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355,506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Securities Fund: Fidelity Small Cap Growth K6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279,162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144,899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134,263</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Mt. Vernon Street Trust: Fidelity Series Growth Company Fund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169,450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641,910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641,511</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Growth Company Commingled Pool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864,200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863,460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K6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194,238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194,238</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Securities Fund: Fidelity Small Cap Growth K6 Fund (3)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Securities Fund: Fidelity Small Cap Growth Fund (3)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34,526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18,066</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Braidwell Partners Master Fund LP (4)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1,904,824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274,824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Associated with Venrock Healthcare Capital Partners (5)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4,915,048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1,716,666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4,022,971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Fairmount Funds Management LLC (6)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11,162,741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20,431,075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associated with Blackstone Alternative Asset Management Associates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 (7)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1,317,070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816,670</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500,400</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682"/>
        </w:trPr>
        <w:tc>
          <w:tcPr>
            <w:tcW w:w="58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Point72 Associates, LLC (8)</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1,005,087</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796,670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208,417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associated with RTW Investments, LP (9)</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1,945,649</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285,000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1,660,649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T. Rowe Price Associates, Inc (10)</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448,340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448,340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 One Capital Opportunities Fund I, LP (11)</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430,330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173,000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257,330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Commodore Capital Master LP (12)</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1,753,054</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483,340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1,269,714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Kalehua Capital Partners LP (13)</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218,524</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150,000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68,524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Avidity Private Master Fund I LP (14)</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660,424</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110,000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550,424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Biomedical Offshore Value Fund, Ltd. (15)</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56,832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56,832</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Biomedical Value Fund, L.P. (16)</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126,498</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126,498</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Citadel CEMF Investments Ltd. (17)</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166,670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166,670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Cormorant Global Healthcare Master Fund (18)</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533,340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533,340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 Track Biotechnology Master Fund, Ltd. (19)</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2,332,924</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811,483</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1,521,441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 Track Special Opportunities Fund, LP (20)</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321,857</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321,857</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 Cap Partners, L.P. (21)</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59,985</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59,985</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Perceptive Life Sciences Master Fund, Ltd. (22)</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1,066,670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1,066,670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Viking Global Opportunities Drawdown (Aggregator) LP (23)</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1,066,676</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1,066,676</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 (24)</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1,600,014</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1,600,014</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Woodline Master Fund LP (25)</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183,330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183,330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Avoro Life Sciences Fund LLC (26)</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1,333,340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1,333,340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Affinity Healthcare Fund, L.P. (27)</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880,947</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133,340</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747,607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 Biotechnology LLC (28)</w:t>
            </w:r>
          </w:p>
        </w:tc>
        <w:tc>
          <w:tcPr>
            <w:tcW w:w="17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1,791,052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350,000</w:t>
            </w:r>
          </w:p>
        </w:tc>
        <w:tc>
          <w:tcPr>
            <w:tcW w:w="15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1,441,052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8" w:lineRule="exact"/>
        <w:rPr>
          <w:sz w:val="20"/>
          <w:szCs w:val="20"/>
          <w:color w:val="auto"/>
        </w:rPr>
      </w:pPr>
    </w:p>
    <w:p>
      <w:pPr>
        <w:ind w:left="460" w:right="60" w:hanging="452"/>
        <w:spacing w:after="0" w:line="276"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our knowledge, unless otherwise indicated, all persons named in the table above have sole voting and investment power with respect to their shares of Common Stock. Unless an address is provided below, the address for the holder is 855 Oak Grove Ave., Suite 100, Menlo Park, CA 94025.</w:t>
      </w:r>
    </w:p>
    <w:p>
      <w:pPr>
        <w:ind w:left="460" w:right="14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such as beneficial ownership limitations.</w:t>
      </w:r>
    </w:p>
    <w:p>
      <w:pPr>
        <w:spacing w:after="0" w:line="1" w:lineRule="exact"/>
        <w:rPr>
          <w:rFonts w:ascii="Times New Roman" w:cs="Times New Roman" w:eastAsia="Times New Roman" w:hAnsi="Times New Roman"/>
          <w:sz w:val="18"/>
          <w:szCs w:val="18"/>
          <w:color w:val="auto"/>
        </w:rPr>
      </w:pPr>
    </w:p>
    <w:p>
      <w:pPr>
        <w:ind w:left="460" w:right="80" w:hanging="452"/>
        <w:spacing w:after="0" w:line="25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0" w:name="page21"/>
    <w:bookmarkEnd w:id="20"/>
    <w:p>
      <w:pPr>
        <w:ind w:left="452" w:hanging="452"/>
        <w:spacing w:after="0" w:line="251"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(i) 1,524,824 shares of Common Stock held by Braidwell Partners Master Fund LP (“Braidwell Partners”) and (ii) 380,000 shares of Common Stock issuable upon the exercise of the pre-funded warrants held by Braidwell Partners. The pre-funded warrants are subject to a beneficial ownership limitation of 9.99%, which such limitations restrict Braidwell Partners and its affiliates from exercising that portion of the warrants that would result in Braidwell Partners and its affiliates owning, after exercise, a number of shares of common stock in excess of the applicable ownership limitation. Braidwell LP (the “Braidwell Investment Manager”) is the investment manager of Braidwell Partners. Braidwell GP LLC (the “Braidwell GP”) is the general partner of Braidwell Partners. Braidwell Management LLC (the “Braidwell IM GP”) is the general partner of the Braidwell Investment Manager and the managing member of the Braidwell GP. Messrs. Alexander T. Karnal and Brian J. Kreiter (together with Braidwell Partners, the Braidwell Investment Manager, the Braidwell GP and the Braidwell IM GP, the “Braidwell Parties”) together own, directly or indirectly, the Braidwell Investment Manager, the Braidwell GP and the Braidwell IM GP. The address of Braidwell Partners is c/o Maples Corporate Services Limited, P.O Box 309, Ugland House, Grand Cayman, KY1-1104 Cayman Islands. The principal address of the Braidwell Investment Manager, the Braidwell GP and the Co-Founders is One Harbor Point, 2200 Atlantic Street, 4th Floor, Stamford, Connecticut 06902. The Braidwell Parties may be deemed to have shared voting and dispositive power with respect to the shares of Common Stock held by Braidwell Partners. Each of the Braidwell Parties disclaims beneficial ownership of such shares except to the extent of any pecuniary interest therein.</w:t>
      </w:r>
    </w:p>
    <w:p>
      <w:pPr>
        <w:spacing w:after="0" w:line="11" w:lineRule="exact"/>
        <w:rPr>
          <w:rFonts w:ascii="Times New Roman" w:cs="Times New Roman" w:eastAsia="Times New Roman" w:hAnsi="Times New Roman"/>
          <w:sz w:val="18"/>
          <w:szCs w:val="18"/>
          <w:color w:val="auto"/>
        </w:rPr>
      </w:pPr>
    </w:p>
    <w:p>
      <w:pPr>
        <w:ind w:left="452" w:right="20" w:hanging="452"/>
        <w:spacing w:after="0" w:line="250"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(i) 3,205,865 shares of Common Stock and 591,403 shares of Common Stock issuable upon the exercise of pre-funded warrants held by Venrock Healthcare Capital Partners EG, L.P. (“VHCPEG”), (ii) 856,747 shares of Common Stock and 159,285 shares of Common Stock issuable upon the exercise of pre-funded warrants held by Venrock Healthcare Capital Partners III, L.P. (“VHCP3”), and (iii) 85,816 shares of Common Stock and 15,932 shares of Common Stock issuable upon the exercise of pre-funded warrants held by VHCP Co-Investment Holdings III, LLC (“VHCPCo3”). Excludes (i) 636,123, 171,330 and 17,136 shares of Common Stock issuable upon the exercise of the pre-funded warrants held by VHCPEG, VHCP3 and VHCPCo3, respectively. The pre-funded warrants are subject to a beneficial ownership limitation of 9.99%, which such limitations restrict Venrock Healthcare Capital Partners and its affiliates from exercising that portion of the warrants that would result in Venrock Healthcare Capital Partners and its affiliates owning, after exercise, a number of shares of common stock in excess of the applicable ownership limitation. Shares listed under “Common Stock that May Be Offered Pursuant to Prospectus” does not give effect to such beneficial ownership limitations with respect to the pre-funded warrants. VHCP Management III, LLC (“VHCPM”) is the sole general partner of VHCP3 and the sole manager of VHCPCo3. VHCP Management EG, LLC (“VHCPM EG”) is the sole general partner of VHCPEG. Dr. Bong Koh and Nimish Shah are the voting members of VHCPM and VHCPM EG. The address of each of these persons and entities is 7 Bryant Park, 23rd Floor, New York, NY 10018.</w:t>
      </w:r>
    </w:p>
    <w:p>
      <w:pPr>
        <w:spacing w:after="0" w:line="5" w:lineRule="exact"/>
        <w:rPr>
          <w:rFonts w:ascii="Times New Roman" w:cs="Times New Roman" w:eastAsia="Times New Roman" w:hAnsi="Times New Roman"/>
          <w:sz w:val="18"/>
          <w:szCs w:val="18"/>
          <w:color w:val="auto"/>
        </w:rPr>
      </w:pPr>
    </w:p>
    <w:p>
      <w:pPr>
        <w:ind w:left="452" w:right="20" w:hanging="452"/>
        <w:spacing w:after="0" w:line="251"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consists of (i) (A) 1,131,954 shares of Common Stock, (B) 1,253,572 shares of Common Stock issuable upon the exercise of pre-funded warrants and (C) 6,203,907 shares of Common Stock issuable upon conversion of 74,447 shares of Series B Preferred Stock held by Fairmount Healthcare Fund II L.P. (“Fairmount Fund II”) and (ii) 2,573,308 shares of Common Stock held by Fairmount Healthcare Co-Invest III L.P. (“Fairmount Fund III”). It excludes (i) 4,044,092 shares of Common Stock issuable upon the exercise of pre-funded warrants and (ii) 5,224,242 shares of Common Stock issuable upon the conversion of 62,691 shares of Series B Preferred Stock owned by Fairmount Fund II. The pre-funded warrants are subject to a beneficial ownership limitation of 9.99% and the shares of Series B Preferred Stock are subject to a beneficial ownership limitation of 19.99%, which such limitations restrict Fairmount and its affiliates from exercising that portion of the warrants and converting those shares of preferred stock that would result in Fairmount and its affiliates owning, after exercise or conversion, a number of shares of Common Stock in excess of the applicable ownership limitation. At such time as Fairmount and its affiliates beneficially own 9.0% or less of the shares of Common Stock, the beneficial ownership limitation applicable to the shares of Series B Preferred Stock will automatically reduce to 9.99%. Shares listed under “Common Stock that May Be Offered Pursuant to Prospectus” does not give effect to such beneficial ownership limitations with respect to the pre-funded warrants and the Series B Preferred Stock. Fairmount serves as investment manager for Fairmount Fund II and Fairmount Fund III. Fairmount Fund II and Fairmount Fund III have delegated to Fairmount the sole power to vote and the sole power to dispose of all securities held in Fairmount Fund II and Fairmount Fund III’s portfolios. Because Fairmount Fund II and Fairmount Fund III have divested themselves of voting and investment power over the securities they hold and may not revoke that delegation on less than 61 days’ notice, Fairmount Fund II and Fairmount Fund III disclaim beneficial ownership of the securities they hold. As managers of Fairmount, Peter Harwin and Tomas Kiselak may be deemed to have voting and investment power over the shares held by Fairmount Fund II and Fairmount Fund III. Fairmount, Peter Harwin and Tomas Kiselak disclaim beneficial ownership of such shares, except to the extent of any pecuniary interest therein. The address of the entities and individuals listed is 200 Barr Harbor Drive, Suite 400, West Conshohocken, PA 19428.</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21" w:name="page22"/>
    <w:bookmarkEnd w:id="21"/>
    <w:p>
      <w:pPr>
        <w:ind w:left="452" w:hanging="452"/>
        <w:spacing w:after="0" w:line="252"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(i) 679,349 shares of Common Stock held by Spruce Street Aggregator L.P. (“Spruce Street Fund”) and (ii) 637,721 shares of Common Stock held by Blackstone Annex Master Fund L.P. (“Annex Fund”). Blackstone Alternative Asset Management Associates LLC is the general partner of the Annex Fund and the Spruce Street Fund. Blackstone Holdings II L.P. is the sole member of Blackstone Alternative Asset Management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Annex Fund and the Spruce Street Fund directly or indirectly controlled by it or him, but each (other than the Annex Fund and the Spruce Street Fund to the extent of their direct holdings) disclaims beneficial ownership of such securities. The address of each of the entities listed is c/o Blackstone Inc., 345 Park Avenue, New York, New York 10154.</w:t>
      </w:r>
    </w:p>
    <w:p>
      <w:pPr>
        <w:spacing w:after="0" w:line="5" w:lineRule="exact"/>
        <w:rPr>
          <w:rFonts w:ascii="Times New Roman" w:cs="Times New Roman" w:eastAsia="Times New Roman" w:hAnsi="Times New Roman"/>
          <w:sz w:val="18"/>
          <w:szCs w:val="18"/>
          <w:color w:val="auto"/>
        </w:rPr>
      </w:pPr>
    </w:p>
    <w:p>
      <w:pPr>
        <w:ind w:left="452" w:right="120"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1,005,087 shares of Common Stock held by Point72 Associates, LLC. 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Management, L.P. and Point72 Capital Advisors, Inc. By reason of the provisions of Rule 13d-3 of the Exchange Act, each of Point72 Asset Management, L.P., Point72 Capital Advisors, Inc., and Mr. Cohen may be deemed to beneficially own the securities held by Point72 Associates, LLC that are disclosed herein. Each of Point72 Asset Management, L.P., Point72 Capital Advisors, Inc., and Mr. Cohen disclaims beneficial ownership of any such securities. The address for Point72 Associates is c/o Point72 Asset Management, L.P., 72 Cummings Point Road, Stamford, CT 06902.</w:t>
      </w:r>
    </w:p>
    <w:p>
      <w:pPr>
        <w:spacing w:after="0" w:line="3" w:lineRule="exact"/>
        <w:rPr>
          <w:rFonts w:ascii="Times New Roman" w:cs="Times New Roman" w:eastAsia="Times New Roman" w:hAnsi="Times New Roman"/>
          <w:sz w:val="18"/>
          <w:szCs w:val="18"/>
          <w:color w:val="auto"/>
        </w:rPr>
      </w:pPr>
    </w:p>
    <w:p>
      <w:pPr>
        <w:ind w:left="452" w:right="100"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(i) 833,404 shares of Common Stock held by RTW Master Fund, Ltd., (ii) 688,409 shares of Common Stock held by RTW Innovation Master Fund, Ltd. and (iii) 373,836 shares held by RTW Biotech Opportunities, Ltd. RTW Investments, LP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of RTW Investments, LP is 40 10th Avenue, Floor 7, New York, NY 10014, and the address of Dr. Wong and each of the RTW Funds is c/o RTW Investments, LP, 40 10th Avenue, Floor 7, New York, NY 10014.</w:t>
      </w:r>
    </w:p>
    <w:p>
      <w:pPr>
        <w:spacing w:after="0" w:line="3" w:lineRule="exact"/>
        <w:rPr>
          <w:rFonts w:ascii="Times New Roman" w:cs="Times New Roman" w:eastAsia="Times New Roman" w:hAnsi="Times New Roman"/>
          <w:sz w:val="18"/>
          <w:szCs w:val="18"/>
          <w:color w:val="auto"/>
        </w:rPr>
      </w:pPr>
    </w:p>
    <w:p>
      <w:pPr>
        <w:ind w:left="452" w:hanging="452"/>
        <w:spacing w:after="0" w:line="252"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(i) 409,731 shares of Common Stock held by T. Rowe Price Health Sciences Fund, Inc., (ii) 21,863 shares of Common Stock held by T. Rowe Price Health Sciences Portfolio and (iii) 16,746 shares of Common Stock held by TD Mutual Funds - TD Health Sciences Fund. T. Rowe Price Associates, Inc. (“TRPA”), as investment adviser, has dispositive and voting power with respect to the shares held by these funds and accounts. For purposes of the Securities Exchange Act of 1934, TRPA may be deemed to be the beneficial owner of these aforementioned shares; however, TRPA expressly disclaims that it is, in fact, the beneficial owner of such securities. TRPA is a wholly owned subsidiary of T. Rowe Price Group, Inc., which is a publicly traded financial services holding company. The principal business address of TRPA is 1307 Point Street, Baltimore, MD 21231.</w:t>
      </w:r>
    </w:p>
    <w:p>
      <w:pPr>
        <w:spacing w:after="0" w:line="200" w:lineRule="exact"/>
        <w:rPr>
          <w:sz w:val="20"/>
          <w:szCs w:val="20"/>
          <w:color w:val="auto"/>
        </w:rPr>
      </w:pPr>
    </w:p>
    <w:p>
      <w:pPr>
        <w:spacing w:after="0" w:line="2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31" w:right="379" w:bottom="1440" w:gutter="0" w:footer="0" w:header="0"/>
        </w:sectPr>
      </w:pPr>
    </w:p>
    <w:bookmarkStart w:id="22" w:name="page23"/>
    <w:bookmarkEnd w:id="22"/>
    <w:p>
      <w:pPr>
        <w:ind w:left="452" w:right="100" w:hanging="452"/>
        <w:spacing w:after="0" w:line="253"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430,330 shares of Common Stock held by SR One Capital Opportunities Fund I, LP. SR One Capital Opportunities Partners I, LP, is the general partner of SR One Capital Opportunities Fund I, LP. SR One Capital Management, LLC, is the general partner of SR One Capital Opportunities Partners I, LP. Simeon George, MD, is the Managing Member of SR One Capital Management, LLC. SR One Capital Opportunities Partners I, LP, SR One Capital Management, LLC, and Simeon George, MD, share voting and investment power with respect to the shares directly held by SR One Capital Opportunities Fund I, LP. All indirect holders of the above referenced shares disclaim beneficial ownership of all applicable shares except to the extent of their pecuniary interest therein. The address of these entities and Simeon George is 929 Main Street, Suite 200, Redwood City, California 94063.</w:t>
      </w:r>
    </w:p>
    <w:p>
      <w:pPr>
        <w:spacing w:after="0" w:line="2" w:lineRule="exact"/>
        <w:rPr>
          <w:rFonts w:ascii="Times New Roman" w:cs="Times New Roman" w:eastAsia="Times New Roman" w:hAnsi="Times New Roman"/>
          <w:sz w:val="18"/>
          <w:szCs w:val="18"/>
          <w:color w:val="auto"/>
        </w:rPr>
      </w:pPr>
    </w:p>
    <w:p>
      <w:pPr>
        <w:ind w:left="452" w:right="60" w:hanging="452"/>
        <w:spacing w:after="0" w:line="250"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1,753,054 shares of Common Stock held by Commodore Capital Master LP. Commodore Capital LP is the investment manager to Commodore Capital Master LP and may be deemed to beneficially own the shares held by Commodore Capital Master LP. Michael Kramarz and Robert Egen Atkinson are the managing partners of Commodore Capital LP and exercise investment discretion with respect to these shares. Commodore Capital LP and Commodore Capital Master LP have shared voting and dispositive power with respect to the shares. The address of Commodore Capital LP and Commodore Capital Master LP is 444 Madison Avenue, 35th Floor, New York, NY 10022.</w:t>
      </w:r>
    </w:p>
    <w:p>
      <w:pPr>
        <w:spacing w:after="0" w:line="2" w:lineRule="exact"/>
        <w:rPr>
          <w:rFonts w:ascii="Times New Roman" w:cs="Times New Roman" w:eastAsia="Times New Roman" w:hAnsi="Times New Roman"/>
          <w:sz w:val="18"/>
          <w:szCs w:val="18"/>
          <w:color w:val="auto"/>
        </w:rPr>
      </w:pPr>
    </w:p>
    <w:p>
      <w:pPr>
        <w:ind w:left="452" w:right="100" w:hanging="452"/>
        <w:spacing w:after="0" w:line="250"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218,524 shares of Common Stock held by Kalehua Capital Partners LP (“Kalehua Capital”). Kalehua Capital Management LLC (“Kalehua Management”) is the general partner and investment manager of Kalehua Capital. Tai-Li Chang is the managing member of Kalehua Management and has voting and investment authority over all of the shares beneficially owned by each of Kalehua Capital and Kalehua Management. The address of Kalehua Capital is 3819 Maple Avenue, Dallas, Texas 75219.</w:t>
      </w:r>
    </w:p>
    <w:p>
      <w:pPr>
        <w:spacing w:after="0" w:line="1" w:lineRule="exact"/>
        <w:rPr>
          <w:rFonts w:ascii="Times New Roman" w:cs="Times New Roman" w:eastAsia="Times New Roman" w:hAnsi="Times New Roman"/>
          <w:sz w:val="18"/>
          <w:szCs w:val="18"/>
          <w:color w:val="auto"/>
        </w:rPr>
      </w:pPr>
    </w:p>
    <w:p>
      <w:pPr>
        <w:ind w:left="452" w:hanging="452"/>
        <w:spacing w:after="0" w:line="250"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660,424 shares of Common Stock held by Avidity Private Master Fund I LP (“APMFI”), which is a Cayman exempted limited partnership. The general partner of APMFI is Avidity Capital Partners Fund (GP) LP, a Delaware limited partnership, whose general partner is Avidity Capital Partners (GP) LLC, a Delaware limited liability company. Avidity Partners Management LP, is the investment manager of APMFI. Avidity Partners Management (GP) LLC is the general partner of Avidity Partners Management LP. Michael Gregory is the managing member of Avidity Capital Partners (GP) LLC and Avidity Partners Management (GP) LLC. This individual may be deemed to have shared voting and investment power of the securities held by APMFI. This individual will disclaim beneficial ownership of such securities, except to the extent of his or her pecuniary interest therein. The address of APMFI is c/o Avidity Partners Management LP, 2828 N. Harwood Street, Suite 1220, Dallas, Texas 75201.</w:t>
      </w:r>
    </w:p>
    <w:p>
      <w:pPr>
        <w:spacing w:after="0" w:line="3" w:lineRule="exact"/>
        <w:rPr>
          <w:rFonts w:ascii="Times New Roman" w:cs="Times New Roman" w:eastAsia="Times New Roman" w:hAnsi="Times New Roman"/>
          <w:sz w:val="18"/>
          <w:szCs w:val="18"/>
          <w:color w:val="auto"/>
        </w:rPr>
      </w:pPr>
    </w:p>
    <w:p>
      <w:pPr>
        <w:ind w:left="452" w:hanging="452"/>
        <w:spacing w:after="0" w:line="257"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56,832 shares of Common Stock held by Biomedical Offshore Value Fund, Ltd. Great Point Partners LLC (“GPP LLC”) is the investment manager of Biomedical Offshore Value Fund, Ltd. and by virtue of such status may be deemed to be the beneficial owner of the securities held by Biomedical Offshore Value Fund, Ltd. Each of Dr. Jeffrey R. Jay, M.D., as Senior Managing Member of GPP LLC, and Ms. Lillian Nordahl, as Managing Director of GPP LLC, has voting and investment power with respect to securities held by the GPP Entities, and therefore may be deemed to be the beneficial owner of the securities held by the GPP Entities. Notwithstanding the above, GPP LLC, Dr. Jay and Ms. Nordahl disclaim beneficial ownership of the securities held by the GPP Entities except to the extent of their respective pecuniary interests. The address of the fund is 165 Mason Street,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Greenwich, CT 06830.</w:t>
      </w:r>
    </w:p>
    <w:p>
      <w:pPr>
        <w:spacing w:after="0" w:line="3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23" w:name="page24"/>
    <w:bookmarkEnd w:id="23"/>
    <w:p>
      <w:pPr>
        <w:ind w:left="460" w:hanging="452"/>
        <w:spacing w:after="0" w:line="239"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126,498 shares of Common Stock held by Biomedical Value Fund, L.P. Great Point Partners LLC (“GPP LLC”) is the investment manager of Biomedical Value Fund, L.P. and by virtue of such status may be deemed to be the beneficial owner of the securities held by Biomedical Value Fund, L.P. Each of Dr. Jeffrey R. Jay, M.D., as Senior Managing Member of GPP LLC, and Ms. Lillian Nordahl, as Managing Director of GPP LLC, has voting and investment power with respect to securities held by the GPP Entities, and therefore may be deemed to be the beneficial owner of the securities held by the GPP Entities. Notwithstanding the above, GPP LLC, Dr. Jay and Ms. Nordahl disclaim beneficial ownership of the securities held by the GPP Entities except to the extent of their respective pecuniary interests. The address of the fund is 165 Mason Street,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Greenwich, CT 06830.</w:t>
      </w:r>
    </w:p>
    <w:p>
      <w:pPr>
        <w:spacing w:after="0" w:line="3"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166,670 shares of Common Stock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The address of Citadel CEMF Investments Ltd. is c/o Citadel Enterprise Americas LLC, 830 Brickell Plaza, Floor 15, Miami, FL 33131.</w:t>
      </w:r>
    </w:p>
    <w:p>
      <w:pPr>
        <w:ind w:left="460" w:right="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533,340 shares of Common Stock held by Cormorant Global Healthcare Master Fund, LP. (“Master Fund”). Cormorant Asset Management, LP serves as the investment manager to Master Fund and Cormorant Global Healthcare GP, LLC (“Global GP”) is the general partner of the Master Fund. Bihua Chen serves as the managing member of Global GP and as the general partner of Cormorant Asset Management, LP. Accordingly, Ms. Chen has voting and investment discretion with respect to the shares held by Master Fund. Ms. Chen disclaims any beneficial ownership of the securities held by Master Fund other than to the extent of any pecuniary interest she may have therein, directly or indirectly. The address for Master Fund, Global Fund and Cormorant Asset Management, LP is 200 Clarendon Street, 52nd Floor, Boston, MA 02116.</w:t>
      </w:r>
    </w:p>
    <w:p>
      <w:pPr>
        <w:spacing w:after="0" w:line="2"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2,332,924 shares of Common Stock held by Deep Track Biotechnology Master Fund, Ltd. David Kroin is the managing member of Deep Track Capital GP, LLC the general partner for Deep Track Capital LP. Deep Track Capital, LP is the investment manager of Deep Track Biotechnology Master Fund, Ltd. The address of the fund is c/o Deep Track Capital L.P., 200 Greenwich Ave, 3rd Floor, Greenwich CT, 06830.</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321,857 shares of Common Stock held by Deep Track Special Opportunities Fund, LP. David Kroin is the managing member of Deep Track Capital GP, LLC the general partner for Deep Track Capital LP. Deep Track Capital, LP is the investment manager of Deep Track Special Opportunities Fund, LP. The address of the fund is c/o Deep Track Capital L.P., 200 Greenwich Ave, 3rd Floor, Greenwich CT, 06830.</w:t>
      </w:r>
    </w:p>
    <w:p>
      <w:pPr>
        <w:spacing w:after="0" w:line="1"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59,985 shares of Common Stock held by Micro Cap Partners, L.P. (“Micro Cap”). PAI LLC is the General Partner of Micro Cap, Palo Alto Investors LP (“PAI LP”) is the Investment Adviser to Micro Cap, and Dr. Anthony Joonkyoo Yun, MD and Dr. Patrick Lee, MD are co-managers of PAI LLC. By virtue of the foregoing, each of PAI LLC, PAI LP, Dr. Yun and Dr. Lee may be deemed to have voting and investment power over the securities held by Micro Cap. The address of Micro Cap, PAI LLC, PAI LP, Dr. Yun and Dr. Lee is 101 University Avenue, Suite 200, Palo Alto, CA 94301.</w:t>
      </w:r>
    </w:p>
    <w:p>
      <w:pPr>
        <w:spacing w:after="0" w:line="1" w:lineRule="exact"/>
        <w:rPr>
          <w:rFonts w:ascii="Times New Roman" w:cs="Times New Roman" w:eastAsia="Times New Roman" w:hAnsi="Times New Roman"/>
          <w:sz w:val="18"/>
          <w:szCs w:val="18"/>
          <w:color w:val="auto"/>
        </w:rPr>
      </w:pPr>
    </w:p>
    <w:p>
      <w:pPr>
        <w:ind w:left="460" w:right="20" w:hanging="452"/>
        <w:spacing w:after="0" w:line="25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1,066,670 shares of Common Stock held by Perceptive Life Sciences Master Fund, Ltd. (“Perceptive”). Perceptive Advisors LLC (“Perceptive Advisors”) is the investment advisor of Perceptive Life Sciences Master Fund, Ltd. (“Perceptive Fund”) and may be deemed to have beneficial ownership of the shares beneficially owned thereby. Joseph Edelman is the controlling person of each of Perceptive Fund and Perceptive Advisors and, accordingly, may be deemed to have beneficial ownership of the shares beneficially owned by each of the Perceptive Fund and Perceptive Advisors. Perceptive Advisors, the Perceptive Fund and Mr. Edelman disclaim beneficial ownership of such shares except to the extent of its or his pecuniary interest therein. The address of Perceptive is c/o Perceptive Advisors LLC, 51 Astor Place, 10th Floor, New York, NY 10003.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left="452" w:right="40" w:hanging="452"/>
        <w:spacing w:after="0" w:line="253"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1,066,676 shares of Common Stock held by Viking Global Opportunities Drawdown (Aggregator) LP (the “Drawdown Fund”). The Drawdown Fund has the authority to dispose of and vote the shares directly owned by it, which power may be exercised by its general partner, Viking Global Opportunities Drawdown Portfolio GP LLC (“Drawdown GP”), and by VGI, which provides managerial services to the Drawdown Fund. O. Andreas Halvorsen, David C. Ott and Rose Shabet, as Executive Committee members of Viking Global Partners LLC (the general partner of VGI) and Viking Global Opportunities Parent GP LLC, the sole member of Viking Global Opportunities Drawdown GP LLC (which is the sole member of Drawdown GP), have shared authority to direct the voting and disposition of investments beneficially owned by VGI and Drawdown GP. The address of Drawdown Fund is c/o Viking Global Investors LP, 600 Washington Boulevard, Stamford, CT 06901.</w:t>
      </w:r>
    </w:p>
    <w:p>
      <w:pPr>
        <w:ind w:left="452" w:right="20" w:hanging="452"/>
        <w:spacing w:after="0" w:line="250"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1,600,014 shares of Common Stock held by Viking Global Opportunities Illiquid Investments Sub-Master LP (the “Opportunities Fund”).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Opportunities Fund. O. Andreas Halvorsen, David C. Ott and Rose Shabet, as Executive Committee members of Viking Global Partners LLC (the general partner of VGI) and Viking Global Opportunities Parent GP LLC, the sole member of Viking Global Opportunities GP LLC (which is the sole member of Opportunities GP), have shared authority to direct the voting and disposition of investments beneficially owned by VGI and Opportunities GP. The address of Opportunities Fund is c/o Viking Global Investors LP, 600 Washington Boulevard, Stamford, CT 06901.</w:t>
      </w:r>
    </w:p>
    <w:p>
      <w:pPr>
        <w:spacing w:after="0" w:line="3" w:lineRule="exact"/>
        <w:rPr>
          <w:rFonts w:ascii="Times New Roman" w:cs="Times New Roman" w:eastAsia="Times New Roman" w:hAnsi="Times New Roman"/>
          <w:sz w:val="18"/>
          <w:szCs w:val="18"/>
          <w:color w:val="auto"/>
        </w:rPr>
      </w:pPr>
    </w:p>
    <w:p>
      <w:pPr>
        <w:ind w:left="452" w:right="20" w:hanging="452"/>
        <w:spacing w:after="0" w:line="250"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183,330 shares of Common Stock held by Woodline Master Fund LP. Woodline Partners LP serves as the investment manager of Woodline Master Fund LP and may be deemed to be the beneficial owner of the shares. Woodline Partners LP disclaims any beneficial ownership of these shares. The address of the fund is 4 Embarcadero Center, Suite 3450, San Francisco, CA 94111.</w:t>
      </w:r>
    </w:p>
    <w:p>
      <w:pPr>
        <w:spacing w:after="0" w:line="1" w:lineRule="exact"/>
        <w:rPr>
          <w:rFonts w:ascii="Times New Roman" w:cs="Times New Roman" w:eastAsia="Times New Roman" w:hAnsi="Times New Roman"/>
          <w:sz w:val="18"/>
          <w:szCs w:val="18"/>
          <w:color w:val="auto"/>
        </w:rPr>
      </w:pPr>
    </w:p>
    <w:p>
      <w:pPr>
        <w:ind w:left="452" w:right="20" w:hanging="452"/>
        <w:spacing w:after="0" w:line="250"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1,333,340 shares of Common Stock held by Avoro Life Sciences Fund LLC. Avoro Capital Advisors LLC (“Avoro”) is the investment advisor for Avoro Life Sciences Fund LLC. Behzad Aghazadeh serves as the portfolio manager and controlling person of Avoro and may be deemed to have investment discretion and voting power over the shares held by Avoro. Mr. Aghazadeh disclaims beneficial ownership of these shares, except to the extent of his pecuniary interest in such shares, if any. The address of Avoro Life Sciences Fund LLC is 110 Greene Street, Suite 800, New York, NY 10012.</w:t>
      </w:r>
    </w:p>
    <w:p>
      <w:pPr>
        <w:spacing w:after="0" w:line="1" w:lineRule="exact"/>
        <w:rPr>
          <w:rFonts w:ascii="Times New Roman" w:cs="Times New Roman" w:eastAsia="Times New Roman" w:hAnsi="Times New Roman"/>
          <w:sz w:val="18"/>
          <w:szCs w:val="18"/>
          <w:color w:val="auto"/>
        </w:rPr>
      </w:pPr>
    </w:p>
    <w:p>
      <w:pPr>
        <w:ind w:left="452" w:hanging="452"/>
        <w:spacing w:after="0" w:line="250"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880,947 shares of Common Stock held by Affinity Healthcare Fund, LP. (“Affinity”). Affinity Asset Advisors, LLC, or Affinity Advisor is the investment manager of Affinity and exercises investment discretion with regard to the shares of Common Stock owned by Affinity. Affinity and Affinity Advisor have the shared power to vote or to direct the vote and to dispose or direct the disposition of such shares of Common Stock owned by Affinity. Affinity Advisor may be deemed to be the beneficial owner of such shares of Common Stock owned by Affinity by virtue of its position as investment manager of Affinity. The address of Affinity is 450 Park Avenue, Suite 1403, New York, NY 10022.</w:t>
      </w:r>
    </w:p>
    <w:p>
      <w:pPr>
        <w:spacing w:after="0" w:line="2" w:lineRule="exact"/>
        <w:rPr>
          <w:rFonts w:ascii="Times New Roman" w:cs="Times New Roman" w:eastAsia="Times New Roman" w:hAnsi="Times New Roman"/>
          <w:sz w:val="18"/>
          <w:szCs w:val="18"/>
          <w:color w:val="auto"/>
        </w:rPr>
      </w:pPr>
    </w:p>
    <w:p>
      <w:pPr>
        <w:ind w:left="452" w:hanging="452"/>
        <w:spacing w:after="0" w:line="25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the Offering” consist of 1,791,052 shares of Common Stock held by AI Biotechnology LLC. Access Industries Holdings LLC (“AIH”) directly controls all of the outstanding voting interest in AI Biotechnology LLC. Access Industries Management, LLC (“AIM”) controls AIH. Len Blavatnik controls AIM and holds a majority of the outstanding voting interests in AIH. Each of Len Blavatnik, AIM and AIH may be deemed to have voting and investment power over the shares held by AI Biotechnology LLC and disclaims beneficial ownership of such shares. The address of each of AI Biotechnology LLC, AIM, AIH and Len Blavatnik is c/o Access Industries, Inc., 40 West 57th Street, 28th Floor, New York, NY 10019.</w:t>
      </w: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19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as permitted by that rule, or Section 4(a)(1) under the Securities Act, if available, rather than under this prospectus, provided that they meet the criteria and conform to the requirements of those provisions. The Selling Stockholders also may dispose of the Resales Shares through distributions to members, partners, stockholders or other equityholders of the Selling Stockholders.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IM- 2121.01.</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 dealers that in turn may sell such shares, to the extent permitted by applicable law. The Selling Stockholders may also enter into option or other transactions with broker-dealers or other financial institutions or the creation of one or more derivative securities that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9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8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Each Selling Stockholder has informed us that it is not a registered broker-dealer and does not have any written or oral agreement or understanding, directly or indirectly, with any person to distribute the Resale Shares. Upon us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w:t>
      </w:r>
    </w:p>
    <w:p>
      <w:pPr>
        <w:spacing w:after="0" w:line="3" w:lineRule="exact"/>
        <w:rPr>
          <w:sz w:val="20"/>
          <w:szCs w:val="20"/>
          <w:color w:val="auto"/>
        </w:rPr>
      </w:pPr>
    </w:p>
    <w:p>
      <w:pPr>
        <w:ind w:right="100" w:firstLine="8"/>
        <w:spacing w:after="0" w:line="255"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w:t>
      </w:r>
    </w:p>
    <w:p>
      <w:pPr>
        <w:spacing w:after="0" w:line="18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Merger RRA, the 2024 RRA and the 2025 RRA,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Merger RRA, the 2024 RRA and the 2025 RRA, respectively, or the Selling Stockholders will be entitled to contribution. We may be indemnified by the Selling Stockholders against certain civil liabilities set forth in the Merger RRA, the 2024 RRA and the 2025 RRA,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keep a prospectus effective until the earlier of the date that the Resale Shares covered by the Merger RRA, the 2024 RRA or the 2025 RRA, as applicable, (i) have been sold, pursuant to this prospectus or pursuant to Rule 144,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or (iii) five (5) years from the respective dates of the Merger RRA, the 2024 RRA and the 2025 RRA, as applicable.</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has been passed upon for us by Davis Polk &amp; Wardwell LLP, Redwood City, California. Additional legal matters may be passed upon for us or any underwriters, dealers or agents, by counsel that we will name in any applicable prospectus supplement.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 website at www.sec.gov that contains reports, proxy and information statements, and various other information about us.</w:t>
      </w:r>
    </w:p>
    <w:p>
      <w:pPr>
        <w:spacing w:after="0" w:line="176"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www.orukatx.com. You may access these materials free of charge as soon as reasonably practicable after they are electronically filed with, or furnished to, the SEC. Information contained on, or accessible through, our website is not incorporated by reference into this prospectus.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or any subsequently filed document deemed incorporated by reference. This prospectus and any accompanying prospectus supplement incorporate by reference the documents set forth below that we have previously filed with the SEC:</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49">
        <w:r>
          <w:rPr>
            <w:rFonts w:ascii="Times New Roman" w:cs="Times New Roman" w:eastAsia="Times New Roman" w:hAnsi="Times New Roman"/>
            <w:sz w:val="18"/>
            <w:szCs w:val="18"/>
            <w:u w:val="single" w:color="auto"/>
            <w:color w:val="0000EE"/>
          </w:rPr>
          <w:t>March 6,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Quarterly Reports on Form 10-Q for the quarters ended March 31, 2025 and June 30, 2025, filed with the SEC on </w:t>
        </w:r>
        <w:r>
          <w:rPr>
            <w:rFonts w:ascii="Times New Roman" w:cs="Times New Roman" w:eastAsia="Times New Roman" w:hAnsi="Times New Roman"/>
            <w:sz w:val="18"/>
            <w:szCs w:val="18"/>
            <w:u w:val="single" w:color="auto"/>
            <w:color w:val="0000EE"/>
          </w:rPr>
          <w:t>May 14,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11, 2025</w:t>
        </w:r>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1">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July 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September 22, 2025</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which is contained in </w:t>
      </w:r>
      <w:hyperlink r:id="rId5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6, 2025.</w:t>
      </w:r>
    </w:p>
    <w:p>
      <w:pPr>
        <w:spacing w:after="0" w:line="162" w:lineRule="exact"/>
        <w:rPr>
          <w:rFonts w:ascii="Times New Roman" w:cs="Times New Roman" w:eastAsia="Times New Roman" w:hAnsi="Times New Roman"/>
          <w:sz w:val="18"/>
          <w:szCs w:val="18"/>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on or after the date of the registration statement of which this prospectus forms a part and prior to its effectiveness and before the termination of the offering of all securities under this prospectus and any prospectus supplement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spacing w:after="0" w:line="189" w:lineRule="exact"/>
        <w:rPr>
          <w:rFonts w:ascii="Times New Roman" w:cs="Times New Roman" w:eastAsia="Times New Roman" w:hAnsi="Times New Roman"/>
          <w:sz w:val="18"/>
          <w:szCs w:val="18"/>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spacing w:after="0" w:line="140"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(650) 606-7910</w:t>
      </w:r>
    </w:p>
    <w:p>
      <w:pPr>
        <w:spacing w:after="0" w:line="207" w:lineRule="exact"/>
        <w:rPr>
          <w:rFonts w:ascii="Times New Roman" w:cs="Times New Roman" w:eastAsia="Times New Roman" w:hAnsi="Times New Roman"/>
          <w:sz w:val="18"/>
          <w:szCs w:val="18"/>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documents outlined above are also available on our website at www.orukatx.com. Information contained on, or accessible through, our website is not incorporated by reference into this prospectus.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the registrant in connection with the offering of the securities being registered. All the amounts shown are estimates, except for the SEC registration fee.</w:t>
      </w:r>
    </w:p>
    <w:p>
      <w:pPr>
        <w:sectPr>
          <w:pgSz w:w="11900" w:h="16838" w:orient="portrait"/>
          <w:cols w:equalWidth="0" w:num="1">
            <w:col w:w="11200"/>
          </w:cols>
          <w:pgMar w:left="320" w:top="900" w:right="37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95" w:hanging="395"/>
        <w:spacing w:after="0"/>
        <w:tabs>
          <w:tab w:leader="none" w:pos="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67,010.61</w:t>
      </w:r>
    </w:p>
    <w:p>
      <w:pPr>
        <w:spacing w:after="0" w:line="27"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4" w:lineRule="exact"/>
        <w:rPr>
          <w:sz w:val="20"/>
          <w:szCs w:val="20"/>
          <w:color w:val="auto"/>
        </w:rPr>
      </w:pPr>
    </w:p>
    <w:p>
      <w:pPr>
        <w:ind w:left="1015" w:hanging="1015"/>
        <w:spacing w:after="0"/>
        <w:tabs>
          <w:tab w:leader="none" w:pos="10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175"/>
          </w:cols>
          <w:pgMar w:left="320" w:top="900" w:right="379" w:bottom="1440" w:gutter="0" w:footer="0" w:header="0"/>
          <w:type w:val="continuous"/>
        </w:sectPr>
      </w:pPr>
    </w:p>
    <w:p>
      <w:pPr>
        <w:spacing w:after="0" w:line="93"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one or more prospectus supplements filed 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of the Registrant's Bylaws provides for indemnification by the Registrant of its directors, officers and employees to the fullest extent permitted by the Delaware General Corporation Law.</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Certificate of Incorporation provides for such limitation of liability.</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executive officers and directors that provide indemnification under certain circumstances for acts and omissions that may not be covered by any directors’ and officers’ liability insurance.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73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Filed</w:t>
            </w: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  Herewith</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840" w:type="dxa"/>
            <w:vAlign w:val="bottom"/>
            <w:tcBorders>
              <w:top w:val="single" w:sz="8" w:color="auto"/>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Agreement and Plan of Merger and Reorganization, dated as of April 3, 2024, by</w:t>
              </w:r>
            </w:hyperlink>
          </w:p>
        </w:tc>
        <w:tc>
          <w:tcPr>
            <w:tcW w:w="240" w:type="dxa"/>
            <w:vAlign w:val="bottom"/>
            <w:tcBorders>
              <w:top w:val="single" w:sz="8" w:color="auto"/>
              <w:bottom w:val="single" w:sz="8" w:color="CCEEFF"/>
            </w:tcBorders>
            <w:gridSpan w:val="7"/>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4/3/2024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and among ARCA biopharma, Inc., Atlas Merger Sub Corp., Atlas Merger Sub II,</w:t>
              </w:r>
            </w:hyperlink>
          </w:p>
        </w:tc>
        <w:tc>
          <w:tcPr>
            <w:tcW w:w="2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LLC and Oruka Therapeutics, Inc.</w:t>
              </w:r>
            </w:hyperlink>
          </w:p>
        </w:tc>
        <w:tc>
          <w:tcPr>
            <w:tcW w:w="3720" w:type="dxa"/>
            <w:vAlign w:val="bottom"/>
            <w:tcBorders>
              <w:bottom w:val="single" w:sz="8" w:color="CCEEFF"/>
            </w:tcBorders>
            <w:gridSpan w:val="20"/>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Second Amended and Restated Certificate of Incorporation</w:t>
              </w:r>
            </w:hyperlink>
          </w:p>
        </w:tc>
        <w:tc>
          <w:tcPr>
            <w:tcW w:w="1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Bylaws</w:t>
              </w:r>
            </w:hyperlink>
          </w:p>
        </w:tc>
        <w:tc>
          <w:tcPr>
            <w:tcW w:w="3940" w:type="dxa"/>
            <w:vAlign w:val="bottom"/>
            <w:tcBorders>
              <w:bottom w:val="single" w:sz="8" w:color="CCEEFF"/>
            </w:tcBorders>
            <w:gridSpan w:val="21"/>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600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Form of Certificate of Designation of Preferences, Rights and Limitations of Series</w:t>
              </w:r>
            </w:hyperlink>
          </w:p>
        </w:tc>
        <w:tc>
          <w:tcPr>
            <w:tcW w:w="200" w:type="dxa"/>
            <w:vAlign w:val="bottom"/>
            <w:gridSpan w:val="3"/>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3.1(b)</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5/24/2013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 Convertible Preferred Stock</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5"/>
                <w:szCs w:val="15"/>
                <w:color w:val="auto"/>
              </w:rPr>
            </w:pPr>
          </w:p>
        </w:tc>
        <w:tc>
          <w:tcPr>
            <w:tcW w:w="62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Elimination of Series A Convertible Preferred Stock, dated August</w:t>
              </w:r>
            </w:hyperlink>
          </w:p>
        </w:tc>
        <w:tc>
          <w:tcPr>
            <w:tcW w:w="10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29, 2024</w:t>
              </w:r>
            </w:hyperlink>
          </w:p>
        </w:tc>
        <w:tc>
          <w:tcPr>
            <w:tcW w:w="116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9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Designation of Preferences, Rights and Limitations of Series B Non-</w:t>
              </w:r>
            </w:hyperlink>
          </w:p>
        </w:tc>
        <w:tc>
          <w:tcPr>
            <w:tcW w:w="1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Voting Convertible Preferred Stock</w:t>
              </w:r>
            </w:hyperlink>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Designation of Preferences, Rights and Limitations of Series A Non-</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9/13/2024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Voting Convertible Preferred Stock</w:t>
              </w:r>
            </w:hyperlink>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254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Description of Securities</w:t>
              </w:r>
            </w:hyperlink>
          </w:p>
        </w:tc>
        <w:tc>
          <w:tcPr>
            <w:tcW w:w="3660" w:type="dxa"/>
            <w:vAlign w:val="bottom"/>
            <w:tcBorders>
              <w:top w:val="single" w:sz="8" w:color="CCEEFF"/>
            </w:tcBorders>
            <w:gridSpan w:val="19"/>
          </w:tcPr>
          <w:p>
            <w:pPr>
              <w:spacing w:after="0"/>
              <w:rPr>
                <w:sz w:val="15"/>
                <w:szCs w:val="15"/>
                <w:color w:val="auto"/>
              </w:rPr>
            </w:pPr>
          </w:p>
        </w:tc>
        <w:tc>
          <w:tcPr>
            <w:tcW w:w="102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8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3/6/2025</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Pre-Funded Warrant, dated August 29, 2024</w:t>
              </w:r>
            </w:hyperlink>
          </w:p>
        </w:tc>
        <w:tc>
          <w:tcPr>
            <w:tcW w:w="2380" w:type="dxa"/>
            <w:vAlign w:val="bottom"/>
            <w:tcBorders>
              <w:bottom w:val="single" w:sz="8" w:color="CCEEFF"/>
            </w:tcBorders>
            <w:gridSpan w:val="15"/>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3/6/2025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Pre-Funded Warrant, dated September 13, 2024</w:t>
              </w:r>
            </w:hyperlink>
          </w:p>
        </w:tc>
        <w:tc>
          <w:tcPr>
            <w:tcW w:w="1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9/13/2024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Pre-Funded Warrant, dated September 19, 2025</w:t>
              </w:r>
            </w:hyperlink>
          </w:p>
        </w:tc>
        <w:tc>
          <w:tcPr>
            <w:tcW w:w="2140" w:type="dxa"/>
            <w:vAlign w:val="bottom"/>
            <w:tcBorders>
              <w:bottom w:val="single" w:sz="8" w:color="CCEEFF"/>
            </w:tcBorders>
            <w:gridSpan w:val="14"/>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9/22/2025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Paruka Warrant, dated December 31, 2024</w:t>
              </w:r>
            </w:hyperlink>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5/14/2025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Opinion of Davis Polk &amp; Wardwell LLP</w:t>
              </w:r>
            </w:hyperlink>
          </w:p>
        </w:tc>
        <w:tc>
          <w:tcPr>
            <w:tcW w:w="3280" w:type="dxa"/>
            <w:vAlign w:val="bottom"/>
            <w:tcBorders>
              <w:bottom w:val="single" w:sz="8" w:color="CCEEFF"/>
            </w:tcBorders>
            <w:gridSpan w:val="17"/>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10/3/2025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Registration Rights Agreement, dated August 29, 2024</w:t>
              </w:r>
            </w:hyperlink>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Registration Rights Agreement, dated September 13, 2024</w:t>
              </w:r>
            </w:hyperlink>
          </w:p>
        </w:tc>
        <w:tc>
          <w:tcPr>
            <w:tcW w:w="136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9/13/2024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Registration Rights Agreement, dated September 17, 2025</w:t>
              </w:r>
            </w:hyperlink>
          </w:p>
        </w:tc>
        <w:tc>
          <w:tcPr>
            <w:tcW w:w="1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9/22/2025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firm</w:t>
            </w:r>
          </w:p>
        </w:tc>
        <w:tc>
          <w:tcPr>
            <w:tcW w:w="5880" w:type="dxa"/>
            <w:vAlign w:val="bottom"/>
            <w:tcBorders>
              <w:bottom w:val="single" w:sz="8" w:color="CCEEFF"/>
            </w:tcBorders>
            <w:gridSpan w:val="26"/>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6200" w:type="dxa"/>
            <w:vAlign w:val="bottom"/>
            <w:gridSpan w:val="27"/>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Consent of Davis Polk &amp; Wardwell LLP (included in Exhibit 5.1)</w:t>
              </w:r>
            </w:hyperlink>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10/3/2025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Power of Attorney (incorporated by reference to the signature page of the original</w:t>
              </w:r>
            </w:hyperlink>
          </w:p>
        </w:tc>
        <w:tc>
          <w:tcPr>
            <w:tcW w:w="300" w:type="dxa"/>
            <w:vAlign w:val="bottom"/>
            <w:tcBorders>
              <w:bottom w:val="single" w:sz="8" w:color="CCEEFF"/>
            </w:tcBorders>
            <w:gridSpan w:val="7"/>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filing of this registration statement).</w:t>
              </w:r>
            </w:hyperlink>
          </w:p>
        </w:tc>
        <w:tc>
          <w:tcPr>
            <w:tcW w:w="3600" w:type="dxa"/>
            <w:vAlign w:val="bottom"/>
            <w:tcBorders>
              <w:bottom w:val="single" w:sz="8" w:color="CCEEFF"/>
            </w:tcBorders>
            <w:gridSpan w:val="18"/>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8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10/3/2025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592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Filing Fee Table (incorporated by reference from Exhibit 107 of the original filing</w:t>
              </w:r>
            </w:hyperlink>
          </w:p>
        </w:tc>
        <w:tc>
          <w:tcPr>
            <w:tcW w:w="280" w:type="dxa"/>
            <w:vAlign w:val="bottom"/>
            <w:gridSpan w:val="6"/>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of this registration statement)</w:t>
              </w:r>
            </w:hyperlink>
          </w:p>
        </w:tc>
        <w:tc>
          <w:tcPr>
            <w:tcW w:w="4080" w:type="dxa"/>
            <w:vAlign w:val="bottom"/>
            <w:gridSpan w:val="23"/>
          </w:tcPr>
          <w:p>
            <w:pPr>
              <w:spacing w:after="0"/>
              <w:rPr>
                <w:sz w:val="17"/>
                <w:szCs w:val="17"/>
                <w:color w:val="auto"/>
              </w:rPr>
            </w:pPr>
          </w:p>
        </w:tc>
        <w:tc>
          <w:tcPr>
            <w:tcW w:w="1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10/3/2025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initial filing of this registration statement on October 3,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59"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Securities and Exchange Commission by the Registrant pursuant to Section 13 or Section 15(d) of the Exchange Act that are incorporated by reference in this registration statement, or is contained in a form of prospectus filed pursuant to Rule 424(b) that is a part of the registration statement.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652" w:right="100" w:hanging="652"/>
        <w:spacing w:after="0" w:line="266"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52" w:right="40" w:hanging="652"/>
        <w:spacing w:after="0" w:line="282"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this offering.</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972" w:right="20" w:hanging="324"/>
        <w:spacing w:after="0" w:line="253" w:lineRule="auto"/>
        <w:tabs>
          <w:tab w:leader="none" w:pos="9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652" w:right="60" w:hanging="652"/>
        <w:spacing w:after="0" w:line="261"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652" w:right="240" w:hanging="652"/>
        <w:spacing w:after="0" w:line="254"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the requirements for filing on Form S-3 and has duly caused this Amendment No. 1 to this registration statement to be signed on its behalf by the undersigned, thereunto duly authorized, in the City of Menlo Park, State of California, on October 14, 2025.</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Lawrence Klein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00"/>
          </w:cols>
          <w:pgMar w:left="320" w:top="900" w:right="37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53"/>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Lawrence Klein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Chief Executive Officer &amp; Director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Lawrence Klein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/s/ Arjun Agarwal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Senior Vice President, Finance and Treasurer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Arjun Agarwal</w:t>
            </w:r>
          </w:p>
        </w:tc>
        <w:tc>
          <w:tcPr>
            <w:tcW w:w="120" w:type="dxa"/>
            <w:vAlign w:val="bottom"/>
          </w:tcPr>
          <w:p>
            <w:pPr>
              <w:spacing w:after="0"/>
              <w:rPr>
                <w:sz w:val="20"/>
                <w:szCs w:val="20"/>
                <w:color w:val="auto"/>
              </w:rPr>
            </w:pPr>
          </w:p>
        </w:tc>
        <w:tc>
          <w:tcPr>
            <w:tcW w:w="5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&amp; Principal Accounting Officer)</w:t>
            </w:r>
          </w:p>
        </w:tc>
      </w:tr>
      <w:tr>
        <w:trPr>
          <w:trHeight w:val="42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Samarth Kulkarni</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Kristine Ball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Carl Dambkowski</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Peter Harwin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80" w:type="dxa"/>
            <w:vAlign w:val="bottom"/>
          </w:tcPr>
          <w:p>
            <w:pPr>
              <w:spacing w:after="0"/>
              <w:rPr>
                <w:sz w:val="20"/>
                <w:szCs w:val="20"/>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Cameron Turtle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Arjun Agarwal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Arjun Agarwal</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500" w:type="dxa"/>
            <w:vAlign w:val="bottom"/>
          </w:tcPr>
          <w:p>
            <w:pPr>
              <w:spacing w:after="0"/>
              <w:rPr>
                <w:sz w:val="17"/>
                <w:szCs w:val="17"/>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19685</wp:posOffset>
            </wp:positionV>
            <wp:extent cx="13544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1354455"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1347" w:lineRule="exact"/>
        <w:rPr>
          <w:sz w:val="20"/>
          <w:szCs w:val="20"/>
          <w:color w:val="auto"/>
        </w:rPr>
      </w:pPr>
    </w:p>
    <w:p>
      <w:pPr>
        <w:sectPr>
          <w:pgSz w:w="11900" w:h="16838" w:orient="portrait"/>
          <w:cols w:equalWidth="0" w:num="2">
            <w:col w:w="9000" w:space="540"/>
            <w:col w:w="1660"/>
          </w:cols>
          <w:pgMar w:left="320" w:top="900" w:right="37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Oruka Therapeutics, Inc. of our report dated March 6, 2025 relating to the financial statements, which appears in Oruka Therapeutics, Inc.’s Annual Report on Form 10-K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
    </w:lvl>
  </w:abstractNum>
  <w:abstractNum w:abstractNumId="1">
    <w:nsid w:val="3352255A"/>
    <w:multiLevelType w:val="hybridMultilevel"/>
    <w:lvl w:ilvl="0">
      <w:lvlJc w:val="left"/>
      <w:lvlText w:val="(%1)"/>
      <w:numFmt w:val="lowerRoman"/>
      <w:start w:val="2"/>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7"/>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6"/>
    </w:lvl>
  </w:abstractNum>
  <w:abstractNum w:abstractNumId="14">
    <w:nsid w:val="257130A3"/>
    <w:multiLevelType w:val="hybridMultilevel"/>
    <w:lvl w:ilvl="0">
      <w:lvlJc w:val="left"/>
      <w:lvlText w:val="(%1)"/>
      <w:numFmt w:val="decimal"/>
      <w:start w:val="23"/>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Roman"/>
      <w:start w:val="3"/>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Roman"/>
      <w:start w:val="1"/>
    </w:lvl>
  </w:abstractNum>
  <w:abstractNum w:abstractNumId="23">
    <w:nsid w:val="75A2A8D4"/>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49" Type="http://schemas.openxmlformats.org/officeDocument/2006/relationships/hyperlink" Target="https://www.sec.gov/Archives/edgar/data/907654/000121390025021165/ea0230445-10k_orukathe.htm" TargetMode="External"/><Relationship Id="rId50" Type="http://schemas.openxmlformats.org/officeDocument/2006/relationships/hyperlink" Target="https://www.sec.gov/Archives/edgar/data/907654/000121390025074281/ea0250224-10q_oruka.htm" TargetMode="External"/><Relationship Id="rId51" Type="http://schemas.openxmlformats.org/officeDocument/2006/relationships/hyperlink" Target="https://www.sec.gov/Archives/edgar/data/907654/000121390025010525/ea0229970-8k_oruka.htm" TargetMode="External"/><Relationship Id="rId52" Type="http://schemas.openxmlformats.org/officeDocument/2006/relationships/hyperlink" Target="https://www.sec.gov/Archives/edgar/data/907654/000121390025050756/ea0244429-8k_oruka.htm" TargetMode="External"/><Relationship Id="rId53" Type="http://schemas.openxmlformats.org/officeDocument/2006/relationships/hyperlink" Target="https://www.sec.gov/Archives/edgar/data/907654/000121390025060352/ea0247670-8k_oruka.htm" TargetMode="External"/><Relationship Id="rId54" Type="http://schemas.openxmlformats.org/officeDocument/2006/relationships/hyperlink" Target="https://www.sec.gov/Archives/edgar/data/907654/000121390025090129/ea0257865-8k_oruka.htm" TargetMode="External"/><Relationship Id="rId55" Type="http://schemas.openxmlformats.org/officeDocument/2006/relationships/hyperlink" Target="https://www.sec.gov/Archives/edgar/data/907654/000121390025021165/ea023044501ex4-1_orukathe.htm" TargetMode="External"/><Relationship Id="rId63" Type="http://schemas.openxmlformats.org/officeDocument/2006/relationships/hyperlink" Target="https://www.sec.gov/Archives/edgar/data/907654/000119312524085437/d794675dex21.htm" TargetMode="External"/><Relationship Id="rId64" Type="http://schemas.openxmlformats.org/officeDocument/2006/relationships/hyperlink" Target="https://www.sec.gov/Archives/edgar/data/907654/000121390024076184/ea021319301ex3-5_oruka.htm" TargetMode="External"/><Relationship Id="rId65" Type="http://schemas.openxmlformats.org/officeDocument/2006/relationships/hyperlink" Target="https://www.sec.gov/Archives/edgar/data/907654/000121390024076184/ea021319301ex3-6_oruka.htm" TargetMode="External"/><Relationship Id="rId66" Type="http://schemas.openxmlformats.org/officeDocument/2006/relationships/hyperlink" Target="https://www.sec.gov/Archives/edgar/data/907654/000119312513233692/d507513dex31b.htm" TargetMode="External"/><Relationship Id="rId67" Type="http://schemas.openxmlformats.org/officeDocument/2006/relationships/hyperlink" Target="https://www.sec.gov/Archives/edgar/data/907654/000121390024076184/ea021319301ex3-8_oruka.htm" TargetMode="External"/><Relationship Id="rId68" Type="http://schemas.openxmlformats.org/officeDocument/2006/relationships/hyperlink" Target="https://www.sec.gov/Archives/edgar/data/907654/000121390024076184/ea021319301ex3-9_oruka.htm" TargetMode="External"/><Relationship Id="rId69" Type="http://schemas.openxmlformats.org/officeDocument/2006/relationships/hyperlink" Target="https://www.sec.gov/Archives/edgar/data/907654/000121390024078549/ea021443901ex3-1_oruka.htm" TargetMode="External"/><Relationship Id="rId70" Type="http://schemas.openxmlformats.org/officeDocument/2006/relationships/hyperlink" Target="https://www.sec.gov/Archives/edgar/data/907654/000121390025021165/ea023044501ex4-3_orukathe.htm" TargetMode="External"/><Relationship Id="rId71" Type="http://schemas.openxmlformats.org/officeDocument/2006/relationships/hyperlink" Target="https://www.sec.gov/Archives/edgar/data/907654/000121390024078549/ea021443901ex4-1_oruka.htm" TargetMode="External"/><Relationship Id="rId72" Type="http://schemas.openxmlformats.org/officeDocument/2006/relationships/hyperlink" Target="https://www.sec.gov/Archives/edgar/data/907654/000121390025090129/ea025786501ex4-1_oruka.htm" TargetMode="External"/><Relationship Id="rId73" Type="http://schemas.openxmlformats.org/officeDocument/2006/relationships/hyperlink" Target="https://www.sec.gov/Archives/edgar/data/907654/000121390025043279/ea023989801ex4-5_oruka.htm" TargetMode="External"/><Relationship Id="rId74" Type="http://schemas.openxmlformats.org/officeDocument/2006/relationships/hyperlink" Target="http://www.sec.gov/Archives/edgar/data/907654/000121390025096190/ea026017101ex5-1_oruka.htm" TargetMode="External"/><Relationship Id="rId75" Type="http://schemas.openxmlformats.org/officeDocument/2006/relationships/hyperlink" Target="https://www.sec.gov/Archives/edgar/data/907654/000121390024097443/ea021692901ex10-4_oruka.htm" TargetMode="External"/><Relationship Id="rId76" Type="http://schemas.openxmlformats.org/officeDocument/2006/relationships/hyperlink" Target="https://www.sec.gov/Archives/edgar/data/907654/000121390024078549/ea021443901ex10-2_oruka.htm" TargetMode="External"/><Relationship Id="rId77" Type="http://schemas.openxmlformats.org/officeDocument/2006/relationships/hyperlink" Target="https://www.sec.gov/Archives/edgar/data/907654/000121390025090129/ea025786501ex10-2_oruka.htm" TargetMode="External"/><Relationship Id="rId78" Type="http://schemas.openxmlformats.org/officeDocument/2006/relationships/hyperlink" Target="http://www.sec.gov/Archives/edgar/data/907654/000121390025096190/ea0260171-s3_oruka.htm#oruka_013" TargetMode="External"/><Relationship Id="rId79" Type="http://schemas.openxmlformats.org/officeDocument/2006/relationships/hyperlink" Target="http://www.sec.gov/Archives/edgar/data/907654/000121390025096190/ea026017101ex-fee_oru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2025-10-14T15:46:32Z</dcterms:created>
  <dcterms:modified xsi:type="dcterms:W3CDTF">2025-10-14T15:46:32Z</dcterms:modified>
</cp:coreProperties>
</file>