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Arjun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ORUKA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OAK GROVE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Oruka Therapeutics, Inc.</w:t>
              </w:r>
            </w:hyperlink>
            <w:r>
              <w:rPr/>
              <w:t xml:space="preserve"> [ </w:t>
            </w:r>
            <w:r>
              <w:rPr>
                <w:rFonts w:ascii="Times;serif" w:hAnsi="Times;serif"/>
                <w:color w:val="0000FF"/>
                <w:sz w:val="24"/>
                <w:shd w:fill="FFFFFF" w:val="clear"/>
              </w:rPr>
              <w:t>ORKA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 Finance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23,853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34.39</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83.0665</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84.2557</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84.9012</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15,612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85.6333</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15,312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8,541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01/21/2035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effected pursuant to a Rule 10b5-1 trading plan entered into on February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$82.49 to $83.37,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$83.54 to $84.53,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$84.54 to $85.50,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$85.56 to $85.69,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vests as to 1/48 of the underlying shares monthly from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 vests as to 1/48 of the underlying shares monthly from January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Quinlan, as attorney-in-fact for Arjun Agarwal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3974" TargetMode="External"/><Relationship Id="rId5" Type="http://schemas.openxmlformats.org/officeDocument/2006/relationships/hyperlink" Target="http://www.sec.gov/cgi-bin/browse-edgar?action=getcompany&amp;CIK=00009076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4579</Characters>
  <CharactersWithSpaces>5329</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