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333-294852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142875</wp:posOffset>
            </wp:positionV>
            <wp:extent cx="177419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4190"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9,660,000 Shares of Common Stock</w:t>
      </w:r>
    </w:p>
    <w:p>
      <w:pPr>
        <w:spacing w:after="0" w:line="229" w:lineRule="exact"/>
        <w:rPr>
          <w:sz w:val="24"/>
          <w:szCs w:val="24"/>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are offering 9,660,000 shares of our common stock, par value $0.001 per share pursuant to this prospectus supplement and the accompanying prospectus.</w:t>
      </w:r>
    </w:p>
    <w:p>
      <w:pPr>
        <w:spacing w:after="0" w:line="162" w:lineRule="exact"/>
        <w:rPr>
          <w:sz w:val="24"/>
          <w:szCs w:val="24"/>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“ORKA.” On April 28, 2026, the last reported sale price of our common stock was $73.99 per share.</w:t>
      </w:r>
    </w:p>
    <w:p>
      <w:pPr>
        <w:spacing w:after="0" w:line="158"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S-4 of this prospectus supplement and page 2 of the accompanying prospectus and in the documents incorporated by reference.</w:t>
      </w:r>
    </w:p>
    <w:p>
      <w:pPr>
        <w:spacing w:after="0" w:line="155" w:lineRule="exact"/>
        <w:rPr>
          <w:sz w:val="24"/>
          <w:szCs w:val="24"/>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by Rule 12b-2 of the Securities Exchange Act of 1934, as amended (the “Exchange Act”), and are subject to reduced public company reporting requirements.</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1"/>
                <w:szCs w:val="21"/>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42,021,000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658,329,000</w:t>
            </w:r>
          </w:p>
        </w:tc>
      </w:tr>
    </w:tbl>
    <w:p>
      <w:pPr>
        <w:spacing w:after="0" w:line="87"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“Underwriting” beginning on page S-12 of this prospectus supplement for a description of the compensation payable to the underwriters.</w:t>
      </w:r>
    </w:p>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1,449,000 shares of our common stock, at the public offering price, less the underwriting discounts and commissions.</w:t>
      </w:r>
    </w:p>
    <w:p>
      <w:pPr>
        <w:spacing w:after="0" w:line="158"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is truthful or complete. Any representation to the contrary is a criminal offense.</w:t>
      </w:r>
    </w:p>
    <w:p>
      <w:pPr>
        <w:spacing w:after="0" w:line="15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securities are expected to be delivered to purchasers on or about April 30, 2026.</w:t>
      </w:r>
    </w:p>
    <w:p>
      <w:pPr>
        <w:spacing w:after="0" w:line="221" w:lineRule="exact"/>
        <w:rPr>
          <w:sz w:val="24"/>
          <w:szCs w:val="24"/>
          <w:color w:val="auto"/>
        </w:rPr>
      </w:pPr>
    </w:p>
    <w:p>
      <w:pPr>
        <w:ind w:left="480"/>
        <w:spacing w:after="0"/>
        <w:tabs>
          <w:tab w:leader="none" w:pos="2960" w:val="left"/>
          <w:tab w:leader="none" w:pos="4560" w:val="left"/>
          <w:tab w:leader="none" w:pos="7660" w:val="left"/>
          <w:tab w:leader="none" w:pos="9220" w:val="left"/>
        </w:tabs>
        <w:rPr>
          <w:sz w:val="20"/>
          <w:szCs w:val="20"/>
          <w:color w:val="auto"/>
        </w:rPr>
      </w:pPr>
      <w:r>
        <w:rPr>
          <w:rFonts w:ascii="Times New Roman" w:cs="Times New Roman" w:eastAsia="Times New Roman" w:hAnsi="Times New Roman"/>
          <w:sz w:val="18"/>
          <w:szCs w:val="18"/>
          <w:b w:val="1"/>
          <w:bCs w:val="1"/>
          <w:color w:val="auto"/>
        </w:rPr>
        <w:t>Leerink Partners</w:t>
      </w:r>
      <w:r>
        <w:rPr>
          <w:sz w:val="20"/>
          <w:szCs w:val="20"/>
          <w:color w:val="auto"/>
        </w:rPr>
        <w:tab/>
      </w:r>
      <w:r>
        <w:rPr>
          <w:rFonts w:ascii="Times New Roman" w:cs="Times New Roman" w:eastAsia="Times New Roman" w:hAnsi="Times New Roman"/>
          <w:sz w:val="18"/>
          <w:szCs w:val="18"/>
          <w:b w:val="1"/>
          <w:bCs w:val="1"/>
          <w:color w:val="auto"/>
        </w:rPr>
        <w:t>TD Cowen</w:t>
      </w:r>
      <w:r>
        <w:rPr>
          <w:sz w:val="20"/>
          <w:szCs w:val="20"/>
          <w:color w:val="auto"/>
        </w:rPr>
        <w:tab/>
      </w:r>
      <w:r>
        <w:rPr>
          <w:rFonts w:ascii="Times New Roman" w:cs="Times New Roman" w:eastAsia="Times New Roman" w:hAnsi="Times New Roman"/>
          <w:sz w:val="18"/>
          <w:szCs w:val="18"/>
          <w:b w:val="1"/>
          <w:bCs w:val="1"/>
          <w:color w:val="auto"/>
        </w:rPr>
        <w:t>Goldman Sachs &amp; Co. LLC</w:t>
      </w:r>
      <w:r>
        <w:rPr>
          <w:sz w:val="20"/>
          <w:szCs w:val="20"/>
          <w:color w:val="auto"/>
        </w:rPr>
        <w:tab/>
      </w:r>
      <w:r>
        <w:rPr>
          <w:rFonts w:ascii="Times New Roman" w:cs="Times New Roman" w:eastAsia="Times New Roman" w:hAnsi="Times New Roman"/>
          <w:sz w:val="18"/>
          <w:szCs w:val="18"/>
          <w:b w:val="1"/>
          <w:bCs w:val="1"/>
          <w:color w:val="auto"/>
        </w:rPr>
        <w:t>Stifel</w:t>
      </w:r>
      <w:r>
        <w:rPr>
          <w:sz w:val="20"/>
          <w:szCs w:val="20"/>
          <w:color w:val="auto"/>
        </w:rPr>
        <w:tab/>
      </w:r>
      <w:r>
        <w:rPr>
          <w:rFonts w:ascii="Times New Roman" w:cs="Times New Roman" w:eastAsia="Times New Roman" w:hAnsi="Times New Roman"/>
          <w:sz w:val="17"/>
          <w:szCs w:val="17"/>
          <w:b w:val="1"/>
          <w:bCs w:val="1"/>
          <w:color w:val="auto"/>
        </w:rPr>
        <w:t>Guggenheim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LifeSci Capital</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5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560" w:type="dxa"/>
            <w:vAlign w:val="bottom"/>
            <w:tcBorders>
              <w:bottom w:val="single" w:sz="8" w:color="CCEEFF"/>
            </w:tcBorders>
            <w:gridSpan w:val="5"/>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680" w:type="dxa"/>
            <w:vAlign w:val="bottom"/>
            <w:tcBorders>
              <w:bottom w:val="single" w:sz="8" w:color="CCEEFF"/>
            </w:tcBorders>
            <w:gridSpan w:val="6"/>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200" w:type="dxa"/>
            <w:vAlign w:val="bottom"/>
            <w:tcBorders>
              <w:bottom w:val="single" w:sz="8" w:color="CCEEFF"/>
            </w:tcBorders>
            <w:gridSpan w:val="17"/>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 to Non-U.S. Holders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51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50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9100" w:type="dxa"/>
            <w:vAlign w:val="bottom"/>
            <w:tcBorders>
              <w:bottom w:val="single" w:sz="8" w:color="CCEEFF"/>
            </w:tcBorders>
            <w:gridSpan w:val="1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24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20" w:type="dxa"/>
            <w:vAlign w:val="bottom"/>
          </w:tcPr>
          <w:p>
            <w:pPr>
              <w:spacing w:after="0"/>
              <w:rPr>
                <w:sz w:val="15"/>
                <w:szCs w:val="15"/>
                <w:color w:val="auto"/>
              </w:rPr>
            </w:pPr>
          </w:p>
        </w:tc>
        <w:tc>
          <w:tcPr>
            <w:tcW w:w="10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453"/>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Oruka Therapeutics, Inc.</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20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3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910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72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1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120" w:type="dxa"/>
            <w:vAlign w:val="bottom"/>
            <w:gridSpan w:val="2"/>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dated April 10, 2026, and included as part of our registration statement on Form S-3 (File No. 333-294852)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supplement and the accompanying prospectus with all of the information incorporated by reference in this prospectus supplement, as well as the additional information described under the heading “Where You Can Find More Information” and “Incorporation of Certain Information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filed after the date of this prospectus supplement incorporated by reference in this prospectus supplement— the statement in the document having the later date modifies or supersedes the earlier statement.</w:t>
      </w:r>
    </w:p>
    <w:p>
      <w:pPr>
        <w:spacing w:after="0" w:line="18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in the accompanying prospectus or the sale of any securities. Our business, financial condition, results of operations and prospects may have changed materially since those dates.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in or incorporated by reference in this prospectus supplement. We and the underwriters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in this prospectus supplement or the accompanying prospectus as well as the information incorporated by reference herein or therein is accurate only as of its date. Our business, financial condition, results of operations and prospects may have changed since those dates.</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and the underwriters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our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and the documents incorporated by reference herein, the terms “Oruka,” “ARCA biopharma, Inc.,” “the Company,” “we,” “us,” and “our” refer to Oruka Therapeutics, Inc., a Delaware corporation, and its consolidated subsidiary taken as a whole.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we have filed with the SEC incorporated by reference herein contain “forward-looking statements” within the meaning of Section 27A of the Securities Act of 1933, as amended (the “Securities Act”), and Section 21E of the Exchange Act. These forward-looking statements reflect our current views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We discuss in greater detail, and incorporate by reference into this prospectus supplement in their entirety, many of these risks and uncertainties under the section titled “Risk Factors” contained in our most recent Annual Report on Form 10-K, as well as any amendments thereto reflected in subsequent filings with the SEC.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prospectus supplement, the accompanying prospectus and the documents incorporated by reference herein in the context of these risks and uncertainties. We caution you that the risks, uncertainties and other factors referred to in this prospectus supplement, the accompanying prospectus and the documents incorporated by reference herein may not contain all of the risks, uncertainties and other factors that may affect our future results and operations. Moreover, we operate in a very competitive and rapidly changing environment, and new risks and uncertainties emerge from time to time.</w:t>
      </w:r>
    </w:p>
    <w:p>
      <w:pPr>
        <w:spacing w:after="0" w:line="19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supplement, the accompanying prospectus and the documents incorporated by reference herein,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and our anticipated use of the net proceeds from this offering,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only the date of the document containing the applicable statement and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and the documents incorporated by reference herein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herein or to reflect the occurrence of unanticipated events, except as may be required under applicable U.S. securities laws. You should read this prospectus supplement and the accompanying prospectus, together with the documents we have filed with the SEC that are incorporated by reference herein,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241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5241925"/>
                    </a:xfrm>
                    <a:prstGeom prst="rect">
                      <a:avLst/>
                    </a:prstGeom>
                    <a:noFill/>
                  </pic:spPr>
                </pic:pic>
              </a:graphicData>
            </a:graphic>
          </wp:anchor>
        </w:drawing>
        <w:t>PROSPECTUS SUPPLEMENT SUMMARY</w:t>
      </w:r>
    </w:p>
    <w:p>
      <w:pPr>
        <w:spacing w:after="0" w:line="227"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related to this offering discussed under “Risk Factors” beginning on page S-4 of this prospectus supplement, along with the other risk factors, our consolidated financial statements and notes to those consolidated financial statements and the other information incorporated by reference in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Pre-Merger Oruka</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Managing Member of Fairmount Funds Management LLC, for the purposes of holding rights to certain intellectual property being developed by Paragon Therapeutics, Inc. On August 29, 2024, we changed our name from “ARCA biopharma, Inc.” to “Oruka Therapeutics, Inc.” and our Nasdaq ticker symbol from “ABIO” to “ORKA”.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for the treatment of PsO. Our co-lead program, ORKA-002, is designed to target interleukin-17A and interleukin-17F for the treatment of PsO, hidradenitis suppurativa, psoriatic arthritis, and other conditions. The product candidates in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653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5653405"/>
                    </a:xfrm>
                    <a:prstGeom prst="rect">
                      <a:avLst/>
                    </a:prstGeom>
                    <a:noFill/>
                  </pic:spPr>
                </pic:pic>
              </a:graphicData>
            </a:graphic>
          </wp:anchor>
        </w:drawing>
        <w:t>Recent Developments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Certain Financial and Operating Data for First Quarter 2026</w:t>
      </w:r>
    </w:p>
    <w:p>
      <w:pPr>
        <w:spacing w:after="0" w:line="22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While we have not finalized our full financial results for the quarter ended March 31, 2026, we estimate that our cash, cash equivalents, and investments were approximately $496 million as of March 31, 2026.</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This preliminary estimate is based on currently available information and is subject to revision based upon, among other things, the finalization and closing of our accounting books and records. Our financial results for the three months ended March 31, 2026 are not yet finalized.</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preliminary financial data included in this prospectus supplement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This estimate should not be viewed as a substitute for financial statements prepared in accordance with accounting principles generally accepted in the United States and is not necessarily indicative of the results to be achieved in any future period. Accordingly, you should not draw any conclusions based on the foregoing estimate and should not place undue reliance on this preliminary estimate.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855 Oak Grove Avenue, Suite 100, Menlo Park, California 94025. The telephone number of our principal executive offices is (650) 606-7910. Our website address is www.orukatx.com. Information contained on, or accessible through, our website is not incorporated by reference into this prospectus supplement. We file our annual, quarterly and current reports, proxy statements and other information with the SEC. We make our periodic and current reports available on our website, free of charge, as soon as reasonably practicable after such material is electronically filed with, or furnished to, the SEC. Our filings with the SEC are also available to the public on the SEC’s website at www.sec.gov. Our common stock is traded on The Nasdaq Global Market under the symbol “ORKA.”</w:t>
      </w:r>
    </w:p>
    <w:p>
      <w:pPr>
        <w:spacing w:after="0" w:line="18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and accompanying prospectus contain trade names, trademarks and service marks of others, which are the property of their respective owners. Solely for convenience, trademarks and trade names referred to in this prospectus supplement may appear without the ® or TM symbols.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Smaller reporting companies may take advantage of certain scaled disclosures, including, among other things, providing only two years of audited financial statements in their Annual Report on Form 10-K, not being required to comply with the auditor attestation requirements of Section 404 of the Sarbanes-Oxley Act and having reduced disclosure obligations regarding executive compensation. We will be able to take advantage of these reduced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8122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8122285"/>
                    </a:xfrm>
                    <a:prstGeom prst="rect">
                      <a:avLst/>
                    </a:prstGeom>
                    <a:noFill/>
                  </pic:spPr>
                </pic:pic>
              </a:graphicData>
            </a:graphic>
          </wp:anchor>
        </w:drawing>
        <w:t>THE OFFERING</w:t>
      </w:r>
    </w:p>
    <w:p>
      <w:pPr>
        <w:spacing w:after="0" w:line="229"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7"/>
          <w:szCs w:val="17"/>
          <w:color w:val="auto"/>
        </w:rPr>
        <w:t>9,660,000 shares.</w:t>
      </w:r>
    </w:p>
    <w:p>
      <w:pPr>
        <w:sectPr>
          <w:pgSz w:w="11900" w:h="16838" w:orient="portrait"/>
          <w:cols w:equalWidth="0" w:num="1">
            <w:col w:w="11000"/>
          </w:cols>
          <w:pgMar w:left="460" w:top="927" w:right="439" w:bottom="1440" w:gutter="0" w:footer="0" w:header="0"/>
        </w:sectPr>
      </w:pP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58,382,309 shares (or 59,831,309 shares if the underwriters exercise their option to purchase additional shares of common stock in full).</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$658.2 million, after deducting underwriting discounts and commissions and estimated offering expenses payable by us. We intend to use the net proceeds from this offering for general corporate purposes, including research and development and working capital. See “Use of Proceeds” for a more complete description of the intended use of proceeds from this offering.</w:t>
      </w:r>
    </w:p>
    <w:p>
      <w:pPr>
        <w:spacing w:after="0" w:line="183" w:lineRule="exact"/>
        <w:rPr>
          <w:sz w:val="20"/>
          <w:szCs w:val="20"/>
          <w:color w:val="auto"/>
        </w:rPr>
      </w:pPr>
    </w:p>
    <w:p>
      <w:pPr>
        <w:sectPr>
          <w:pgSz w:w="11900" w:h="16838" w:orient="portrait"/>
          <w:cols w:equalWidth="0" w:num="2">
            <w:col w:w="2880" w:space="220"/>
            <w:col w:w="7900"/>
          </w:cols>
          <w:pgMar w:left="460" w:top="927" w:right="439" w:bottom="1440" w:gutter="0" w:footer="0" w:header="0"/>
          <w:type w:val="continuous"/>
        </w:sect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Our common stock is listed on the Nasdaq Global Market under the symbol “ORKA.”</w:t>
      </w:r>
    </w:p>
    <w:p>
      <w:pPr>
        <w:spacing w:after="0" w:line="225"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color w:val="auto"/>
        </w:rPr>
        <w:t>Investing in our securities involves significant risks. You should read the “Risk Factors” section of this</w:t>
      </w:r>
    </w:p>
    <w:p>
      <w:pPr>
        <w:spacing w:after="0" w:line="27" w:lineRule="exact"/>
        <w:rPr>
          <w:sz w:val="20"/>
          <w:szCs w:val="20"/>
          <w:color w:val="auto"/>
        </w:rPr>
      </w:pPr>
    </w:p>
    <w:p>
      <w:pPr>
        <w:ind w:left="3100" w:right="80"/>
        <w:spacing w:after="0" w:line="253" w:lineRule="auto"/>
        <w:rPr>
          <w:sz w:val="20"/>
          <w:szCs w:val="20"/>
          <w:color w:val="auto"/>
        </w:rPr>
      </w:pPr>
      <w:r>
        <w:rPr>
          <w:rFonts w:ascii="Times New Roman" w:cs="Times New Roman" w:eastAsia="Times New Roman" w:hAnsi="Times New Roman"/>
          <w:sz w:val="18"/>
          <w:szCs w:val="18"/>
          <w:color w:val="auto"/>
        </w:rPr>
        <w:t>prospectus supplement, as well as those risks and uncertainties identified in the documents incorporated by reference in this prospectus supplement and the accompanying prospectus, including our most recent Annual Report on Form 10-K, for a discussion of factors to consider carefully before deciding to purchase our common stock.</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number of issued and outstanding shares of common stock to be outstanding after this offering is based on 48,722,309 shares of our common stock outstanding as of December 31, 2025, and excludes:</w:t>
      </w:r>
    </w:p>
    <w:p>
      <w:pPr>
        <w:spacing w:after="0" w:line="162" w:lineRule="exact"/>
        <w:rPr>
          <w:sz w:val="20"/>
          <w:szCs w:val="20"/>
          <w:color w:val="auto"/>
        </w:rPr>
      </w:pPr>
    </w:p>
    <w:p>
      <w:pPr>
        <w:ind w:left="660" w:right="240" w:hanging="333"/>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11,428,149 shares of common stock issuable upon the conversion of 137,138 shares of Series B Preferred Stock outstanding as of December 31, 2025;</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6,943,849 shares of common stock issuable upon the exercise of pre-funded warrants outstanding as of December 31, 2025;</w:t>
      </w:r>
    </w:p>
    <w:p>
      <w:pPr>
        <w:spacing w:after="0" w:line="225" w:lineRule="exact"/>
        <w:rPr>
          <w:rFonts w:ascii="Times New Roman" w:cs="Times New Roman" w:eastAsia="Times New Roman" w:hAnsi="Times New Roman"/>
          <w:sz w:val="18"/>
          <w:szCs w:val="18"/>
          <w:color w:val="auto"/>
        </w:rPr>
      </w:pPr>
    </w:p>
    <w:p>
      <w:pPr>
        <w:ind w:left="660" w:right="340" w:hanging="333"/>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3,950,958 shares of common stock issuable upon the exercise of stock options outstanding as of December 31, 2025 under the 2024 Equity Incentive Plan and the 2024 Stock Incentive Plan with a weighted-average exercise price of $12.61 per share;</w:t>
      </w:r>
    </w:p>
    <w:p>
      <w:pPr>
        <w:spacing w:after="0" w:line="161" w:lineRule="exact"/>
        <w:rPr>
          <w:rFonts w:ascii="Times New Roman" w:cs="Times New Roman" w:eastAsia="Times New Roman" w:hAnsi="Times New Roman"/>
          <w:sz w:val="18"/>
          <w:szCs w:val="18"/>
          <w:color w:val="auto"/>
        </w:rPr>
      </w:pPr>
    </w:p>
    <w:p>
      <w:pPr>
        <w:ind w:left="660" w:right="60" w:hanging="333"/>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1,482,951 shares of common stock issuable upon the exercise of stock options granted subsequent to December 31, 2025 under the 2024 Stock Incentive Plan with a weighted-average price of $34.31 per share;</w:t>
      </w:r>
    </w:p>
    <w:p>
      <w:pPr>
        <w:spacing w:after="0" w:line="161" w:lineRule="exact"/>
        <w:rPr>
          <w:rFonts w:ascii="Times New Roman" w:cs="Times New Roman" w:eastAsia="Times New Roman" w:hAnsi="Times New Roman"/>
          <w:sz w:val="18"/>
          <w:szCs w:val="18"/>
          <w:color w:val="auto"/>
        </w:rPr>
      </w:pPr>
    </w:p>
    <w:p>
      <w:pPr>
        <w:ind w:left="660" w:hanging="333"/>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971,930 shares of common stock issuable upon the exercise of warrants outstanding as of December 31, 2025 with a weighted-average exercise price of $23.55 per share issued in connection with the Paruka Warrant Obligation (as defined in our most recent Annual Report on Form 10-K);</w:t>
      </w:r>
    </w:p>
    <w:p>
      <w:pPr>
        <w:spacing w:after="0" w:line="17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421,019 shares of common stock issuable upon the vesting of restricted stock units granted subsequent to December 31, 2025;</w:t>
      </w:r>
    </w:p>
    <w:p>
      <w:pPr>
        <w:spacing w:after="0" w:line="225" w:lineRule="exact"/>
        <w:rPr>
          <w:rFonts w:ascii="Times New Roman" w:cs="Times New Roman" w:eastAsia="Times New Roman" w:hAnsi="Times New Roman"/>
          <w:sz w:val="18"/>
          <w:szCs w:val="18"/>
          <w:color w:val="auto"/>
        </w:rPr>
      </w:pPr>
    </w:p>
    <w:p>
      <w:pPr>
        <w:ind w:left="660" w:right="320" w:hanging="333"/>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3,029,510 shares of common stock issuable upon the exercise of employee warrants outstanding as of December 31, 2025 with a weighted-average exercise price of $7.80 per share;</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4,600,217 shares of common stock reserved for issuance under our 2024 Stock Incentive Plan as of December 31, 2025;</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975,922 shares of common stock reserved for issuance under the Employee Stock Purchase Plan as of December 31, 2025; and</w:t>
      </w:r>
    </w:p>
    <w:p>
      <w:pPr>
        <w:spacing w:after="0" w:line="225" w:lineRule="exact"/>
        <w:rPr>
          <w:rFonts w:ascii="Times New Roman" w:cs="Times New Roman" w:eastAsia="Times New Roman" w:hAnsi="Times New Roman"/>
          <w:sz w:val="18"/>
          <w:szCs w:val="18"/>
          <w:color w:val="auto"/>
        </w:rPr>
      </w:pPr>
    </w:p>
    <w:p>
      <w:pPr>
        <w:ind w:left="660" w:right="620" w:hanging="333"/>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1,167,895 shares of common stock sold under our at-the-market equity offering program with TD Securities (USA) LLC subsequent to December 31, 2025.</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w:t>
      </w:r>
    </w:p>
    <w:p>
      <w:pPr>
        <w:spacing w:after="0" w:line="225" w:lineRule="exact"/>
        <w:rPr>
          <w:sz w:val="20"/>
          <w:szCs w:val="20"/>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1,449,000 additional shares of common stock in this offering; and</w:t>
      </w:r>
    </w:p>
    <w:p>
      <w:pPr>
        <w:spacing w:after="0" w:line="225" w:lineRule="exact"/>
        <w:rPr>
          <w:rFonts w:ascii="Times New Roman" w:cs="Times New Roman" w:eastAsia="Times New Roman" w:hAnsi="Times New Roman"/>
          <w:sz w:val="18"/>
          <w:szCs w:val="18"/>
          <w:color w:val="auto"/>
        </w:rPr>
      </w:pPr>
    </w:p>
    <w:p>
      <w:pPr>
        <w:ind w:left="660" w:right="40" w:hanging="33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settlement of outstanding stock options, existing warrants, or other equity awards described above, no grant of additional awards under the 2024 Equity Incentive Plan and the 2024 Stock Incentive Plan, in each case, after December 31, 2025.</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deciding whether to invest in our common stock, you should consider carefully the risks described below and discussed under the sections captioned “Risk Factors” contained in our most recent Annual Report on Form 10-K, as well as in any of our subsequent Current Reports on Form 8-K filed with the SEC, which are incorporated by reference in this prospectus supplement in their entirety, together with other information in this prospectus supplement and the accompanying prospectus and the information and documents incorporated by reference in this prospectus supplement. Each of the risk factors could adversely affect our business, operating results and financial condition, as well as adversely affect the value of an investment in our securities, and the occurrence of any of these risks might cause you to lose all or part of your investment. There may be additional risks that we do not presently know of or that we currently believe are immaterial which could also impair our business and financial position. Please also read carefully the section 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net proceeds in ways that do not improve our business, financial condition or results of operations or enhance the value of our common stock. You may not agree with our decisions, and our use of the proceeds may not yield any return on your investment. We currently intend to use the net proceeds from this offering for general corporate purposes, including research and development and working capital.</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Because of the number and variability of factors that will determine our use of the net proceeds from this offering, their ultimate use may vary substantially from their currently intended use. You will not have the opportunity to influence our decisions on how to use the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incur immediate and substantial dilution of your investment.</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you purchase our common stock in this offering, you will incur immediate and substantial dilution in the as adjusted net tangible book value of our common stock because the price that you pay for our shares of common stock in this offering will be substantially greater than the net tangible book value per share of the shares you acquire. As a result, investors in this offering will incur immediate dilution of $53.14 per share, representing the difference between the offering price of $72.50 per share and our as adjusted net tangible book value as of December 31, 2025. To the extent that shares of Series B Preferred Stock are converted into shares of common stock, warrants are exercised, options are exercised, restricted stock units vest, new options or restricted stock units are issued under our equity incentive plans, or we issue additional shares of common stock in the future, there will be further dilution to investors participating in this offering. See “Dilution.”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spacing w:after="0" w:line="172"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or the perception that such sales could occur, could depress the market price of our common stock and impair our ability to raise capital through the sale of additional equity securities. In addition, certain entities beneficially own a significant percentage of our Company. As of December 31, 2025, entities affiliated with Fairmount Funds Management LLC beneficially own 20,431,075 shares of our common stock, or approximately 35.2% of our common stock, assuming the exercise of all pre-funded warrants held by such entities, and the conversion of all outstanding shares of Series B Preferred Stock held by such entities into shares of common stock, without giving effect to contractual limitations contained in such securities that restrict such holder (together with its affiliates) from beneficially owning in excess of a specified percentage of our common stock, and without giving effect to the exercise or conversion of any securities exercisable or convertible into common stock owned by other stockholders. It is possible that we could issue and sell additional shares of our common stock in the public markets. We cannot predict the effect that future sales of our common stock, or the perception that such sales might occur, would have on the market price of our common stock.</w:t>
      </w:r>
    </w:p>
    <w:p>
      <w:pPr>
        <w:spacing w:after="0" w:line="194"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Shares of our common stock that are subject to our outstanding options, restricted stock units, or warrants will become eligible for sale in the public market to the extent permitted by the provisions of various vesting agreements and Rule 144 under the Securities Act.</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Moreover, certain holders of our common stock have rights, subject to conditions, to require us to file registration statements covering their shares. Registration of these shares under the Securities Act would result in the shares becoming freely tradeable in the public market, subject to the restriction of Rule 144 in the case of our affiliates. If any of these additional shares are sold, or if it is perceived that they will be sold, in the public market, the market price of our common stock could decline.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$658.2 million (or approximately $757.0 million if the underwriters exercise their option to purchase additional shares in full), after deducting underwriting discounts and commissions and estimated offering expenses payable by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currently intend to use the net proceeds from this offering for general corporate purposes, including research and development and working capital.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these uses, we intend to invest the net proceeds in short- and intermediate-term, investment grade interest-bearing securities.</w:t>
      </w:r>
    </w:p>
    <w:p>
      <w:pPr>
        <w:spacing w:after="0" w:line="20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management retains broad discretion in the application of the net proceeds from this offering.</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Dilution is the amount by which the price paid by the purchasers of the shares of common stock sold in this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historical net tangible book value as of December 31, 2025 was $471.9 million, or $9.69 per share.</w:t>
      </w:r>
    </w:p>
    <w:p>
      <w:pPr>
        <w:spacing w:after="0" w:line="22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of 9,660,000 shares of common stock in this offering at the public offering price of $72.50 per share, after deducting offering commissions and estimated offering expenses payable by us, our as adjusted net tangible book value as of December 31, 2025 would have been $1,130.1 million, or $19.36 per share. This represents an immediate increase in as adjusted net tangible book value of $9.67 per share to our existing stockholders and immediate dilution of $53.14 per share to new investors participating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4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2025</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per share attributable to new investors</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3"/>
        </w:trPr>
        <w:tc>
          <w:tcPr>
            <w:tcW w:w="86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44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CCEEFF"/>
              <w:bottom w:val="single" w:sz="8" w:color="CCEEFF"/>
            </w:tcBorders>
          </w:tcPr>
          <w:p>
            <w:pPr>
              <w:spacing w:after="0"/>
              <w:rPr>
                <w:sz w:val="19"/>
                <w:szCs w:val="19"/>
                <w:color w:val="auto"/>
              </w:rPr>
            </w:pPr>
          </w:p>
        </w:tc>
        <w:tc>
          <w:tcPr>
            <w:tcW w:w="40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top w:val="single" w:sz="8" w:color="CCEEFF"/>
              <w:bottom w:val="single" w:sz="8" w:color="CCEEFF"/>
            </w:tcBorders>
          </w:tcPr>
          <w:p>
            <w:pPr>
              <w:spacing w:after="0"/>
              <w:rPr>
                <w:sz w:val="19"/>
                <w:szCs w:val="19"/>
                <w:color w:val="auto"/>
              </w:rPr>
            </w:pPr>
          </w:p>
        </w:tc>
      </w:tr>
      <w:tr>
        <w:trPr>
          <w:trHeight w:val="25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in adjusted net tangible book value per share to new investors</w:t>
            </w:r>
          </w:p>
        </w:tc>
        <w:tc>
          <w:tcPr>
            <w:tcW w:w="4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53.14</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shares of Series B Preferred Stock are converted into shares of common stock, warrants are exercised, options are exercised, restricted stock units vest, new options or restricted stock units are issued under our equity incentive plans, or we issue additional shares of common stock in the future, there will be further dilution to investors participating in this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48,722,309 shares of our common stock outstanding as of December 31, 2025 and excludes:</w:t>
      </w:r>
    </w:p>
    <w:p>
      <w:pPr>
        <w:spacing w:after="0" w:line="225" w:lineRule="exact"/>
        <w:rPr>
          <w:sz w:val="20"/>
          <w:szCs w:val="20"/>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11,428,149 shares of common stock issuable upon the conversion of 137,138 shares of Series B Preferred Stock outstanding as of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6,943,849 shares of common stock issuable upon the exercise of pre-funded warrants outstanding as of December 31, 2025;</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3,950,958 shares of common stock issuable upon the exercise of stock options outstanding as of December 31, 2025 under the 2024 Equity Incentive Plan and the 2024 Stock Incentive Plan with a weighted-average exercise price of $12.61 per share;</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1,482,951 shares of common stock issuable upon the exercise of stock options granted subsequent to December 31, 2025 under the 2024 Stock Incentive Plan with a weighted-average price of $34.31 per share;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971,930 shares of common stock issuable upon the exercise of warrants outstanding as of December 31, 2025 with a weighted-average exercise price of $23.55 per share issued in connection with the Paruka Warrant Obligation (as defined in our Annual Report on Form 10-K);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421,019 shares of common stock issuable upon the vesting of restricted stock units granted subsequent to December 31, 2025;</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3,029,510 shares of common stock issuable upon the exercise of employee warrants outstanding as of December 31, 2025 with a weighted-average exercise price of $7.80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4,600,217 shares of common stock reserved for issuance under our 2024 Stock Incentive Plan as of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975,922 shares of common stock reserved for issuance under the Employee Stock Purchase Plan as of December 31, 2025;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1,167,895 shares of common stock sold under our at-the-market equity offering program with TD Securities (USA) LLC subsequent to December 31,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to support our operations and finance the growth and development of our business. We do not intend to pay cash dividends on our common stock for the foreseeable future. Any future determination to pay cash dividends will be at the discretion of our board of directors, subject to applicable limitations under Delaware law, and will be dependent upon our results of operations, financial condition, contractual restrictions and other factors deemed relevant by our board of directors.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NON-U.S. HOLDERS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tax considerations to Non-U.S. Holders (as defined below) of the ownership and disposition of our common stock issued pursuant to this offering, but it does not purport to be a comprehensive description of all of the tax considerations that may be relevant to a particular person’s decision to acquire our common stock. This discussion applies only to Non-U.S. Holders who hold our common stock as capital assets for tax purposes. This discussion does not address the effects of other U.S. federal tax laws, such as estate and gift tax laws, state, local and non-U.S. tax consequences, nor does it discuss any minimum tax consequences or any consequences resulting from the Medicare tax on investment income. Moreover, the discussion below does not address the consequences to taxpayers subject to special tax accounting rules under Section 451(b) of the Internal Revenue Code of 1986, as amended (the “Code”). In addition, it does not describe all of the tax consequences that may be relevant to investors subject to special rules, such as:</w:t>
      </w:r>
    </w:p>
    <w:p>
      <w:pPr>
        <w:spacing w:after="0" w:line="192" w:lineRule="exact"/>
        <w:rPr>
          <w:sz w:val="20"/>
          <w:szCs w:val="20"/>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expatriates and certain former citizens or long-term residents of the U.S.;</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banks or financial institutions;</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insurance companies;</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dealers and traders in securities or commodities that use a mark-to-market method of tax accounting;</w:t>
      </w:r>
    </w:p>
    <w:p>
      <w:pPr>
        <w:spacing w:after="0" w:line="224" w:lineRule="exact"/>
        <w:rPr>
          <w:rFonts w:ascii="Arial" w:cs="Arial" w:eastAsia="Arial" w:hAnsi="Arial"/>
          <w:sz w:val="18"/>
          <w:szCs w:val="18"/>
          <w:b w:val="1"/>
          <w:bCs w:val="1"/>
          <w:color w:val="auto"/>
        </w:rPr>
      </w:pPr>
    </w:p>
    <w:p>
      <w:pPr>
        <w:ind w:left="720" w:hanging="361"/>
        <w:spacing w:after="0" w:line="281" w:lineRule="auto"/>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investors holding our common stock as part of a hedging transaction, “straddle,” wash sale, conversion transaction, integrated transaction or constructive sale transaction;</w:t>
      </w:r>
    </w:p>
    <w:p>
      <w:pPr>
        <w:spacing w:after="0" w:line="162"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whose functional currency is not the U.S. dollar;</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own our common stock in connection with a trade or business conducted outside of the U.S.;</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entities classified as partnerships or other pass-through entities for U.S. federal income tax purposes;</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tax-exempt entities or government organizations; or</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2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will generally depend on the status of the partner and the activities of the partnership. If an investor is a partnership holding our common stock or a partner in such a partnership, such investor should consult its tax adviser as to the particular U.S. federal tax consequences of holding and disposing of our common stock.</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and final, temporary and proposed Treasury regulations, all as of the date hereof, changes to any of which subsequent to the date of this prospectus supplement may affect the tax consequences herein, possibly on a retroactive basis. Persons considering the purchase of our common stock should consult their tax advisers concerning the U.S. federal, state, local and non-U.S. tax consequences of owning and disposing of our common stock in their particular circumstances.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that is, for U.S. federal tax purposes:</w:t>
      </w:r>
    </w:p>
    <w:p>
      <w:pPr>
        <w:spacing w:after="0" w:line="225" w:lineRule="exact"/>
        <w:rPr>
          <w:sz w:val="20"/>
          <w:szCs w:val="20"/>
          <w:color w:val="auto"/>
        </w:rPr>
      </w:pPr>
    </w:p>
    <w:p>
      <w:pPr>
        <w:ind w:left="720" w:hanging="361"/>
        <w:spacing w:after="0"/>
        <w:tabs>
          <w:tab w:leader="none" w:pos="7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tax as expatriates;</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foreign corporation; or</w:t>
      </w:r>
    </w:p>
    <w:p>
      <w:pPr>
        <w:spacing w:after="0" w:line="224" w:lineRule="exact"/>
        <w:rPr>
          <w:rFonts w:ascii="Arial" w:cs="Arial" w:eastAsia="Arial" w:hAnsi="Arial"/>
          <w:sz w:val="18"/>
          <w:szCs w:val="18"/>
          <w:b w:val="1"/>
          <w:bCs w:val="1"/>
          <w:color w:val="auto"/>
        </w:rPr>
      </w:pPr>
    </w:p>
    <w:p>
      <w:pPr>
        <w:ind w:left="720" w:hanging="361"/>
        <w:spacing w:after="0"/>
        <w:tabs>
          <w:tab w:leader="none" w:pos="72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foreign estate or trust.</w:t>
      </w:r>
    </w:p>
    <w:p>
      <w:pPr>
        <w:spacing w:after="0" w:line="224"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 “Non-U.S. Holder” does not include a non-resident alien individual who is present in the United States for 183 days or more in the taxable year of disposition. Such an individual should consult their own tax adviser regarding the U.S. federal income tax consequences of the sale or other disposition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discussed under “Dividend Policy” above, we do not intend to pay cash dividends on our common stock for the foreseeable future. In the event that we do make distributions of cash or other property (other than certain pro rata distributions of our common stock), those distributions will be treated as dividends to Non-U.S. Holders of our common stock to the extent paid out of our current or accumulated earnings and profits (as determined under U.S. federal income tax principles). If a distribution exceeds our current and accumulated earnings and profits, the excess will be first treated as a tax-free return of the Non-U.S. Holder’s investment, which will first reduce a Non-U.S. Holder’s basis in our common stock, but not below zero, and then will be treated as gain as described below under “—</w:t>
      </w:r>
      <w:r>
        <w:rPr>
          <w:rFonts w:ascii="Times New Roman" w:cs="Times New Roman" w:eastAsia="Times New Roman" w:hAnsi="Times New Roman"/>
          <w:sz w:val="18"/>
          <w:szCs w:val="18"/>
          <w:i w:val="1"/>
          <w:iCs w:val="1"/>
          <w:color w:val="auto"/>
        </w:rPr>
        <w:t>Sale or Other Disposition of Common Stock</w:t>
      </w:r>
      <w:r>
        <w:rPr>
          <w:rFonts w:ascii="Times New Roman" w:cs="Times New Roman" w:eastAsia="Times New Roman" w:hAnsi="Times New Roman"/>
          <w:sz w:val="18"/>
          <w:szCs w:val="18"/>
          <w:color w:val="auto"/>
        </w:rPr>
        <w:t>.”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tax at a 30% rate or a reduced rate specified by an applicable income tax treaty. In order to obtain a reduced rate of withholding under an applicable income tax treaty, a Non-U.S. Holder will be required to provide an Internal Revenue Service (“IRS”) Form W-8BEN (or other appropriate form) certifying its entitlement to benefits under a treaty. If a Non-U.S. Holder does not timely furnish the required documentation but qualifies for a lower treaty rate, the Non-U.S. Holder may obtain a refund of any excess amounts withheld by timely filing an appropriate claim for refund with the IRS. Non-U.S. Holders should consult their tax advisers regarding their entitlement to benefits under any applicable income tax treaty.</w:t>
      </w:r>
    </w:p>
    <w:p>
      <w:pPr>
        <w:spacing w:after="0" w:line="187"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such Non-U.S. Holder’s conduct of a trade or business in the United States (and, if required by an applicable income tax treaty, are attributable to a permanent establishment or fixed base maintained by the Non-U.S. Holder in the United States), the Non-U.S. Holder will generally be taxed on the dividends in the same manner as a U.S. person. In that case, the withholding tax does not apply to dividends paid to a Non-U.S. Holder that provides an IRS Form W-8ECI, certifying that the dividends are effectively connected with the Non-U.S.</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Holder’s conduct of a trade or business within the United States. A Non-U.S. Holder who is engaged in a trade or business in the United States should consult its tax adviser with respect to other U.S. tax consequences of the ownership and disposition of our common stock and, if the Non-U.S. Holder is a corporation, the possible imposition of a branch profits tax at a rate of 30% (or a lower treaty rate).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Sale or Other Disposition of Our Common Stock</w:t>
      </w:r>
    </w:p>
    <w:p>
      <w:pPr>
        <w:spacing w:after="0" w:line="225"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Subject to the discussions below under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a Non-U.S. Holder generally will not be subject to U.S. federal income tax or withholding on gain realized on a sale or other disposition of our common stock unless:</w:t>
      </w:r>
    </w:p>
    <w:p>
      <w:pPr>
        <w:spacing w:after="0" w:line="160" w:lineRule="exact"/>
        <w:rPr>
          <w:sz w:val="20"/>
          <w:szCs w:val="20"/>
          <w:color w:val="auto"/>
        </w:rPr>
      </w:pPr>
    </w:p>
    <w:p>
      <w:pPr>
        <w:ind w:left="720" w:hanging="361"/>
        <w:spacing w:after="0"/>
        <w:tabs>
          <w:tab w:leader="none" w:pos="7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gain is effectively connected with the conduct of a trade or business of the Non-U.S. Holder in the United States, as described below; or</w:t>
      </w:r>
    </w:p>
    <w:p>
      <w:pPr>
        <w:spacing w:after="0" w:line="224" w:lineRule="exact"/>
        <w:rPr>
          <w:rFonts w:ascii="Arial" w:cs="Arial" w:eastAsia="Arial" w:hAnsi="Arial"/>
          <w:sz w:val="18"/>
          <w:szCs w:val="18"/>
          <w:b w:val="1"/>
          <w:bCs w:val="1"/>
          <w:color w:val="auto"/>
        </w:rPr>
      </w:pPr>
    </w:p>
    <w:p>
      <w:pPr>
        <w:ind w:left="720" w:right="100" w:hanging="361"/>
        <w:spacing w:after="0" w:line="281" w:lineRule="auto"/>
        <w:tabs>
          <w:tab w:leader="none" w:pos="72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or have been a “U.S. real property holding corporation” (a “USRPHC”) within the meaning of Section 897 of the Code at any time within the five-year period preceding the disposition or the Non-U.S. Holder’s holding period, whichever period is shorter.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we are not, nor do we anticipate becoming, a U.S. real property holding corporation.</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gain on a sale or other disposition of our common stock is effectively connected with a Non-U.S. Holder’s conduct of a trade or business in the United States (and, if required by an applicable income tax treaty, is attributable to a U.S. permanent establishment or fixed base maintained by the Non-U.S. Holder), the Non-U.S. Holder generally will be taxed on such gain in the same manner as a U.S. person. A Non-U.S. Holder who is engaged in a trade or business in the United States should consult its tax adviser with respect to other U.S. tax consequences of the ownership and disposition of our common stock and, if the Non-U.S. Holder is a corporation, the possible imposition of a branch profits tax at a rate of 30% (or a lower treaty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our common stock. A Non-U.S. Holder may have to comply with certification procedures to establish that it is not a U.S. person in order to avoid information reporting in respect of the payment of proceeds from a sale or other disposition of our common stock and backup withholding on dividends or on the payment of proceeds from a sale or other disposition of our common stock. Compliance with the certification procedures required to claim a reduced rate of withholding under a treaty will satisfy the certification requirements necessary to avoid backup withholding as well. Amounts withheld under the backup withholding rules are not additional taxes and may be refunded or credited against the Non-U.S. Holder’s U.S. federal income tax liability and may entitle the Non-U.S. Holder to a refund, provided that the required information is timely furnished to the IRS.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payments of U.S.-source dividends and the gross proceeds from the sale or other disposition of securities that can generate U.S.-source dividends or other U.S.-source “fixed or determinable annual or periodical” income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may obtain a refund of any amounts withheld by filing a U.S. federal income tax return (which may entail significant administrative burden). The U.S. Treasury has released proposed regulations which, if finalized in their present form, would eliminate the application of the FATCA withholding tax to the gross proceeds of a sale or other disposition of our common stock. In its preamble to such proposed regulations, the U.S. Treasury stated that taxpayers may rely on the proposed regulations until final regulations are issued. You should consult your own tax adviser regarding the effects of FATCA on your investments in our common stock, and the possible impact of these rules on the entities through which you hold our common stock, including, without limitation, the process and deadlines for meeting the applicable requirements to prevent the imposition of the FATCA withholding tax.</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Leerink Partners LLC, TD Securities (USA) LLC, Goldman Sachs &amp; Co. LLC, Stifel, Nicolaus &amp; Company, Incorporated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2,067,240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1,574,580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1,381,380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1,381,380</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888,720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9,660,000</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securities sold under the underwriting agreement if any of the securities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common stock to the public at the initial public offering price set forth on the cover page of this prospectus supplement and to dealers at that price less a concession not in excess of $2.61 per share. After the initial offering of the common stock, the public offering price, concession or any other term of this offering may be changed by the representatives.</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per share of common stock, underwriting discounts and commissions and proceeds, before expenses, to us. The information assumes either no exercise or full exercise by the underwriters of their option to purchase additional shares of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Without</w:t>
            </w:r>
          </w:p>
        </w:tc>
        <w:tc>
          <w:tcPr>
            <w:tcW w:w="16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700,350,000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805,402,500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42,021,000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48,324,150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658,329,000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757,078,350</w:t>
            </w:r>
          </w:p>
        </w:tc>
      </w:tr>
    </w:tbl>
    <w:p>
      <w:pPr>
        <w:spacing w:after="0" w:line="19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$125,000. We also have agreed to reimburse the underwriters for up to $25,000 for their FINRA counsel fee. In accordance with FINRA Rule 5110, this reimbursed fee is deemed underwriting compensation for this offering. The underwriters have also agreed to reimburse us for certain of our expenses incurred in connection with this offering.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BTIG, LLC is acting as our financial advisor for this transaction, for which we will pay an advisory fee.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1,449,000 additional shares of common stock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right="60" w:firstLine="324"/>
        <w:spacing w:after="0" w:line="228" w:lineRule="auto"/>
        <w:rPr>
          <w:sz w:val="20"/>
          <w:szCs w:val="20"/>
          <w:color w:val="auto"/>
        </w:rPr>
      </w:pPr>
      <w:r>
        <w:rPr>
          <w:rFonts w:ascii="Times New Roman" w:cs="Times New Roman" w:eastAsia="Times New Roman" w:hAnsi="Times New Roman"/>
          <w:sz w:val="17"/>
          <w:szCs w:val="17"/>
          <w:color w:val="auto"/>
        </w:rPr>
        <w:t>We have agreed that, during the period commencing on and including the date of this prospectus supplement and continuing through and including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date of this prospectus supplement (the “Lock-Up Period”), we will not, without the prior written consent of Leerink Partners LLC,</w:t>
      </w:r>
    </w:p>
    <w:p>
      <w:pPr>
        <w:spacing w:after="0" w:line="1" w:lineRule="exact"/>
        <w:rPr>
          <w:sz w:val="20"/>
          <w:szCs w:val="20"/>
          <w:color w:val="auto"/>
        </w:rPr>
      </w:pPr>
    </w:p>
    <w:p>
      <w:pPr>
        <w:ind w:firstLine="8"/>
        <w:spacing w:after="0" w:line="250"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shares of common stock, whether any such swap or transaction described in clause (i) or (ii) above is to be settled by delivery of shares of common stock or such other securities, in cash or otherwise or (iii) publicly announce an intention to effect any such swap, agreement or other transaction described in clauses (i) and (ii). The foregoing sentence shall not apply to (A) the securities to be sold under this prospectus supplement; (B) any shares of common stock issued by us upon the exercise of an option or warrant or the conversion of a convertible security outstanding on the date of this prospectus supplement and referred to in this prospectus supplement, the accompanying prospectus or the documents incorporated herein or therein; (C) any shares of common stock issued or options to purchase shares of common stock or other awards granted pursuant to existing employee benefit plans, or pursuant to any employee stock purchase plan, of our Company referred to in this prospectus supplement, the accompanying prospectus or the documents incorporated herein or therein; (D) any shares of common stock issued pursuant to any existing non-employee director stock plan or dividend reinvestment plan referred to in this prospectus supplement, the accompanying prospectus or the documents incorporated herein or therein; (E) the filing by us of any registration statement on Form S-8 or a successor form thereto; or (F) the issuance of up to 5% of the outstanding shares of common stock, or securities convertible into, exercisable for, or which are otherwise exchangeable for, common stock, immediately following this offering, in connection with mergers, acquisitions, joint ventures or commercial or other strategic transactions (including, without limitation, joint ventures, marketing or distribution arrangements, collaboration agreements or intellectual property license agreements), provided that such recipients shall execute or otherwise be subject to a lock-up agreement for the remainder of the Lock-Up Period.</w:t>
      </w:r>
    </w:p>
    <w:p>
      <w:pPr>
        <w:spacing w:after="0" w:line="20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executive officers and directors (the “lock-up signatories”) have agreed, subject to certain exceptions, not to sell or transfer any shares of common stock or securities convertible into or exchangeable into or exercisable for shares of common stock, during the Lock-Up Period without first obtaining the written consent of Leerink Partners LLC, on behalf of the underwriters. Specifically, the lock-up signatories have agreed, with certain limited exceptions, not to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shares of common stock, whether now owned or hereafter acquired by the lock-up signatory or with respect to which the lock-up signatory has or hereafter acquires the power of disposition (collectively, the “Lock-Up Securities”), or exercise any right with respect to the registration of any of the Lock-Up Securities, or make any demand for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lock-up signatories may transfer Lock-Up Securities without the prior written consent of Leerink Partners LLC, provided, in each case, that (1) in the cases of clauses (i)-(v) below, the representatives receive a signed lock-up agreement for the balance of the Lock-Up Period from each donee, trustee, distributee, or transferee, as the case may be, (2) in the cases of clauses (i)-(iv),</w:t>
      </w:r>
    </w:p>
    <w:p>
      <w:pPr>
        <w:spacing w:after="0" w:line="1" w:lineRule="exact"/>
        <w:rPr>
          <w:sz w:val="20"/>
          <w:szCs w:val="20"/>
          <w:color w:val="auto"/>
        </w:rPr>
      </w:pPr>
    </w:p>
    <w:p>
      <w:pPr>
        <w:ind w:right="20" w:firstLine="8"/>
        <w:spacing w:after="0" w:line="265" w:lineRule="auto"/>
        <w:tabs>
          <w:tab w:leader="none" w:pos="30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(ix) below, any such transfer shall not involve a disposition for value, (3) in the case of clauses (i)-(ix) below, if any filing under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by footnote disclosure or otherwise the nature of the transfer or disposition, and (4) the lock-up signatory does not otherwise voluntarily effect any public filing or report regarding such transfers (other than a filing on a Form 5 made after the expiration of the Lock-Up Period): (i) as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gift or gifts or charitable contribution(s) (including to one or more charitable trusts); (ii) for estate planning purposes or to any trust for the direct or indirect benefit of the lock-up signatory or the immediate family of the lock-up signatory, or if the lockup-signatory is a trust, to a trustor or beneficiary of the trust or to the estate of a beneficiary of such trust; (iii) as a distribution or other transfer by a partnership to its partners or former partners or by a limited liability company to its members or retired members or by a corporation to its stockholders or former stockholders or to any wholly-owned subsidiary of such corporation; (iv) to the lock-up signatory’s affiliates, the immediate family of the lock-up signatory or to any corporation, limited liability company, partnership, investment fund or other entity controlled or managed by the lock-up signatory and/or an immediate family member of the lock-up signatory; (v) pursuant to a qualified domestic relations order or in connection with a divorce settlement, divorce decree, separation agreement or other order of a court or regulatory agency; (vi) by will, other testamentary document or intestate succession upon the death of the lock-up signatory; (vii) to us in satisfaction of any tax withholding obligation;</w:t>
      </w:r>
    </w:p>
    <w:p>
      <w:pPr>
        <w:spacing w:after="0" w:line="2" w:lineRule="exact"/>
        <w:rPr>
          <w:rFonts w:ascii="Times New Roman" w:cs="Times New Roman" w:eastAsia="Times New Roman" w:hAnsi="Times New Roman"/>
          <w:sz w:val="17"/>
          <w:szCs w:val="17"/>
          <w:color w:val="auto"/>
        </w:rPr>
      </w:pPr>
    </w:p>
    <w:p>
      <w:pPr>
        <w:ind w:right="140" w:firstLine="8"/>
        <w:spacing w:after="0" w:line="253"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shares of common stock underlying restricted stock units to cover the payment of tax withholding obligations upon the vesting of such awards, which have been issued pursuant to an equity incentive plan, stock purchase plan or other employee benefit plan, in each case, such plan as described in or incorporated by reference in this prospectus supplement; or (ix) to a nominee or custodian of a person or entity to whom a disposition or transfer would be permissible under clauses (i) through (iv) above.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Provided further, that, subject to certain limitations, the restrictions shall not apply to (1) the transfer of the lock-up signatory’s Lock-Up Securities to us in connection with the termination of the lock-up signatory’s services to the us; (2) the exercise, settlement or exchange by the lock-up signatory of any option or warrant to acquire any shares of common stock or options or other rights to purchase shares of common stock, any restricted stock unit or other equity awards, in each case for cash or on a “cashless” or “net exercise” basis, pursuant to any stock option, stock bonus or other stock plan or arrangement; provided, however, that the underlying shares of common stock shall continue to be subject to the restrictions on transfer set forth in the lock-up agreement; (3) the transfer of Lock-Up Securities upon the completion of a bona fide third-party tender offer, merger, consolidation or other similar transaction made to all holders of our securities involving a change of control of our Company; and (4) the conversion of our outstanding preferred stock into shares of common stock or the exercise of outstanding warrants for shares of common stock, provided that any such shares received upon such conversion shall be subject to the restrictions on transfer set forth in the lockup agreement.</w:t>
      </w:r>
    </w:p>
    <w:p>
      <w:pPr>
        <w:spacing w:after="0" w:line="18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Additionally, the lock-up signatories may, subject to certain limitations, (i) establish or amend a 10b5-1 trading plan and (ii) transfer Lock-Up Securities under existing 10b5-1 Trading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“ORKA.”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right="560" w:firstLine="324"/>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TD Securities (USA) LLC is the sales agent under our at-the-market offering sales agreement, pursuant to which we may offer and sell, from time to time, shares of our common stock by any method that is deemed to be an “at the market offering” under Rule 415(a)(4)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shares of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w:t>
      </w:r>
    </w:p>
    <w:p>
      <w:pPr>
        <w:spacing w:after="0" w:line="18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 or publish an Annex IX document pursuant to Article 1(4) of the Prospectus Regulation.</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this offering to the public in the United Kingdom except that the securities may be offered to the public in the United Kingdom at any time:</w:t>
      </w:r>
    </w:p>
    <w:p>
      <w:pPr>
        <w:spacing w:after="0" w:line="162" w:lineRule="exact"/>
        <w:rPr>
          <w:sz w:val="20"/>
          <w:szCs w:val="20"/>
          <w:color w:val="auto"/>
        </w:rPr>
      </w:pPr>
    </w:p>
    <w:p>
      <w:pPr>
        <w:jc w:val="both"/>
        <w:ind w:left="980" w:right="20" w:hanging="324"/>
        <w:spacing w:after="0" w:line="289"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w:t>
      </w:r>
    </w:p>
    <w:p>
      <w:pPr>
        <w:spacing w:after="0" w:line="157"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in paragraph 15 of Schedule 1 of the POATR;</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in paragraph 15 of Schedule 1 of the POATR), subject to obtaining the prior consent of the representatives for any such offer; or</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 to any legal entity which is a qualified investor as defined under Article 2 of the UK Prospectus Regulation.</w:t>
      </w:r>
    </w:p>
    <w:p>
      <w:pPr>
        <w:spacing w:after="0" w:line="18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w:t>
      </w:r>
    </w:p>
    <w:p>
      <w:pPr>
        <w:spacing w:after="0" w:line="187" w:lineRule="exact"/>
        <w:rPr>
          <w:sz w:val="20"/>
          <w:szCs w:val="20"/>
          <w:color w:val="auto"/>
        </w:rPr>
      </w:pPr>
    </w:p>
    <w:p>
      <w:pPr>
        <w:ind w:left="660" w:right="1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right="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6" w:lineRule="exact"/>
        <w:rPr>
          <w:sz w:val="20"/>
          <w:szCs w:val="20"/>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Brazil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or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The validity of the issuance of the shares of common stock being offered by this prospectus supplement will be passed upon for us by Davis Polk &amp; Wardwell LLP, Redwood City, California. The underwriters are being represented in connection with this offering by Cooley LLP, New York, New York.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www.orukatx.com. Information contained on, or accessible through, our website is not incorporated by reference into this prospectus supplement.</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under the Securities Act and do not contain all of the information set forth or incorporated by reference in the registration statement. You should review the information and exhibits in the registration statement for further information on us and our consolidated subsidiary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supplement, which means that we can disclose important information to you by referring you to another document filed separately with the SEC instead of having to repeat the information in this prospectus supplement and the accompanying prospectus. The information incorporated by reference is deemed to be part of this prospectus supplement. Any statement ‎made in this prospectus supplement or in a document incorporated or deemed to be incorporated by reference in this prospectus supplement ‎will be deemed to be</w:t>
      </w:r>
    </w:p>
    <w:p>
      <w:pPr>
        <w:spacing w:after="0" w:line="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w:t>
      </w:r>
    </w:p>
    <w:p>
      <w:pPr>
        <w:ind w:right="600"/>
        <w:spacing w:after="0" w:line="260" w:lineRule="auto"/>
        <w:rPr>
          <w:sz w:val="20"/>
          <w:szCs w:val="20"/>
          <w:color w:val="auto"/>
        </w:rPr>
      </w:pPr>
      <w:r>
        <w:rPr>
          <w:rFonts w:ascii="Times New Roman" w:cs="Times New Roman" w:eastAsia="Times New Roman" w:hAnsi="Times New Roman"/>
          <w:sz w:val="18"/>
          <w:szCs w:val="18"/>
          <w:color w:val="auto"/>
        </w:rPr>
        <w:t>statement. Any statement so modified or superseded‎ will not be deemed, except as so modified or superseded, to constitute a part of this prospectus supplement. This ‎prospectus supplement incorporates by reference the documents listed below:</w:t>
      </w:r>
    </w:p>
    <w:p>
      <w:pPr>
        <w:spacing w:after="0" w:line="18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12, 2026;</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our Definitive Proxy Statement on </w:t>
      </w:r>
      <w:hyperlink r:id="rId3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17,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6">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April 27, 2026; and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which is contained in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12, 2026, including any amendments or reports filed for the purposes of updating such description.</w:t>
      </w:r>
    </w:p>
    <w:p>
      <w:pPr>
        <w:spacing w:after="0" w:line="162" w:lineRule="exact"/>
        <w:rPr>
          <w:rFonts w:ascii="Times New Roman" w:cs="Times New Roman" w:eastAsia="Times New Roman" w:hAnsi="Times New Roman"/>
          <w:sz w:val="18"/>
          <w:szCs w:val="18"/>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All documents filed by us pursuant to Sections 13(a), 13(c), 14 or 15(d) of the Exchange Act after the date of this prospectus supplement before the termination of the offering shall also be deemed to be incorporated herein by reference. The most recent information that we file with the SEC automatically updates and supersedes older information. The information contained in any such filing will be deemed to be a part of this prospectus supplement, commencing on the date on which the document is filed.</w:t>
      </w:r>
    </w:p>
    <w:p>
      <w:pPr>
        <w:spacing w:after="0" w:line="187" w:lineRule="exact"/>
        <w:rPr>
          <w:rFonts w:ascii="Times New Roman" w:cs="Times New Roman" w:eastAsia="Times New Roman" w:hAnsi="Times New Roman"/>
          <w:sz w:val="18"/>
          <w:szCs w:val="18"/>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We will furnish without charge to each person, including any beneficial owner, to whom a prospectus is delivered, upon written or oral request, a copy of any or all of the reports or documents incorporated by reference, including exhibits to these documents. You should direct any requests for documents to:</w:t>
      </w:r>
    </w:p>
    <w:p>
      <w:pPr>
        <w:spacing w:after="0" w:line="140"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(650) 606-7910.</w:t>
      </w:r>
    </w:p>
    <w:p>
      <w:pPr>
        <w:spacing w:after="0" w:line="207" w:lineRule="exact"/>
        <w:rPr>
          <w:rFonts w:ascii="Times New Roman" w:cs="Times New Roman" w:eastAsia="Times New Roman" w:hAnsi="Times New Roman"/>
          <w:sz w:val="18"/>
          <w:szCs w:val="18"/>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documents outlined above are also available on our website at www.orukatx.com. Information contained on, or accessible through, our website is not incorporated by reference into this prospectus supplement.</w:t>
      </w:r>
    </w:p>
    <w:p>
      <w:pPr>
        <w:spacing w:after="0" w:line="36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74190" cy="591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7741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Oruka Therapeutics, Inc. may offer and sell up to an aggregate amount of $1,000,000,000 of any combination of the securities described in this prospectus, either individually or in combination with other securities in one or more offerings. We may also offer common stock upon conversion of preferred stock or common stock or preferred stock upon the exercise of warrants.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“ORKA.” On April 1, 2026, the last reported sale price of our common stock was $50.43 per share. If we decide to seek a listing of any securities offered by this prospectus, the applicable prospectus supplement will disclose the exchange or market on which such securities will be listed, if any, or where we have made an application for listing, if any.</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or through a combination of methods,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 offered securities. The specific terms of any securities to be offered will be described in supplements to this prospectus, which may also add, update or change information contained in this prospectus. You should read this prospectus and the applicable prospectus supplement carefully before you make an investment decision.</w:t>
      </w:r>
    </w:p>
    <w:p>
      <w:pPr>
        <w:spacing w:after="0" w:line="172"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2 of this prospectus and in the documents incorporated by reference into this prospectus or any applicable prospectus supplement.</w:t>
      </w:r>
    </w:p>
    <w:p>
      <w:pPr>
        <w:spacing w:after="0" w:line="15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by Rule 12b-2 of the Exchange Act and are subject to reduced public company reporting requirements.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2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6"/>
        </w:trPr>
        <w:tc>
          <w:tcPr>
            <w:tcW w:w="42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Oruka Therapeutics, Inc.</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360" w:type="dxa"/>
            <w:vAlign w:val="bottom"/>
            <w:tcBorders>
              <w:bottom w:val="single" w:sz="8" w:color="CCEEFF"/>
            </w:tcBorders>
            <w:gridSpan w:val="12"/>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4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2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60" w:type="dxa"/>
            <w:vAlign w:val="bottom"/>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960" w:type="dxa"/>
            <w:vAlign w:val="bottom"/>
            <w:gridSpan w:val="2"/>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2540" w:type="dxa"/>
            <w:vAlign w:val="bottom"/>
            <w:tcBorders>
              <w:bottom w:val="single" w:sz="8" w:color="CCEEFF"/>
            </w:tcBorders>
            <w:gridSpan w:val="7"/>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4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260" w:type="dxa"/>
            <w:vAlign w:val="bottom"/>
            <w:tcBorders>
              <w:bottom w:val="single" w:sz="8" w:color="CCEEFF"/>
            </w:tcBorders>
            <w:gridSpan w:val="11"/>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4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400" w:type="dxa"/>
            <w:vAlign w:val="bottom"/>
            <w:tcBorders>
              <w:bottom w:val="single" w:sz="8" w:color="CCEEFF"/>
            </w:tcBorders>
            <w:gridSpan w:val="3"/>
            <w:shd w:val="clear" w:color="auto" w:fill="CCEEFF"/>
          </w:tcPr>
          <w:p>
            <w:pPr>
              <w:spacing w:after="0"/>
              <w:rPr>
                <w:sz w:val="17"/>
                <w:szCs w:val="17"/>
                <w:color w:val="auto"/>
              </w:rPr>
            </w:pPr>
          </w:p>
        </w:tc>
        <w:tc>
          <w:tcPr>
            <w:tcW w:w="6960" w:type="dxa"/>
            <w:vAlign w:val="bottom"/>
            <w:tcBorders>
              <w:bottom w:val="single" w:sz="8" w:color="CCEEFF"/>
            </w:tcBorders>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42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960" w:type="dxa"/>
            <w:vAlign w:val="bottom"/>
            <w:gridSpan w:val="2"/>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2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960" w:type="dxa"/>
            <w:vAlign w:val="bottom"/>
            <w:gridSpan w:val="2"/>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process, we may, from time to time, sell any combination of the securities described in this prospectus in one or more offerings.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sell securities, we will provide a prospectus supplement that contains specific information about the terms of that offering, including the specific amounts, prices and terms of the securities offered. The prospectus supplement may also add information to this prospectus or update or change information in this prospectus. If there is any inconsistency between the information in this prospectus and any prospectus supplement, you should rely on the information in the prospectus supplement. You should read carefully this prospectus and any prospectus supplement together with the additional information described under the heading “Where You Can Find More Information” and “Incorporation of Certain Information by Reference.” We have not authorized anyone to provide you with different or additional information. We are not making an offer to sell these securities in any jurisdiction where the offer or sale of these securities is not permitted. You should assume that the information in this prospectus or any prospectus supplement, as well as the information incorporated by reference herein or therein, is accurate only as of the date of the documents containing the information. Our business, financial condition, results of operations and prospects may have changed since those dates.</w:t>
      </w:r>
    </w:p>
    <w:p>
      <w:pPr>
        <w:spacing w:after="0" w:line="19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and the documents incorporated by reference herein, the terms “Oruka,” “ARCA biopharma, Inc.,” “the Company,” “we,” “us,” and “our” refer to Oruka Therapeutics, Inc., a Delaware corporation, and its consolidated subsidiaries taken as a whole.</w:t>
      </w:r>
    </w:p>
    <w:p>
      <w:pPr>
        <w:spacing w:after="0" w:line="17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All references to “our product candidates,” “our programs” and “our pipeline” in this prospectus refer to the research programs with respect to which we have exercised the option to acquire intellectual property license rights to pursuant to those certain antibody discovery and option agreements by and among the Company, Paragon Therapeutics, Inc. and Paruka Holding LLC.</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3441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27875" cy="3441700"/>
                    </a:xfrm>
                    <a:prstGeom prst="rect">
                      <a:avLst/>
                    </a:prstGeom>
                    <a:noFill/>
                  </pic:spPr>
                </pic:pic>
              </a:graphicData>
            </a:graphic>
          </wp:anchor>
        </w:drawing>
        <w:t>ORUKA THERAPEUTICS, INC.</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for the treatment of PsO. Our co-lead program, ORKA-002, is designed to target interleukin-17A and interleukin-17F for the treatment of PsO, hidradenitis suppurativa, psoriatic arthritis, and other conditions. The product candidates in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855 Oak Grove Avenue, Suite 100, Menlo Park, California 94025. The telephone number of our principal executive offices is (650) 606-7910. Our website address is www.orukatx.com. Information contained on, or accessible through, our website is not incorporated by reference into this prospectus. We file our annual, quarterly and current reports, proxy statements and other information with the SEC. We make our periodic and current reports available on our website, free of charge, as soon as reasonably practicable after such material is electronically filed with, or furnished to, the SEC. Our filings with the SEC are also available to the public on the SEC’s website at www.sec.gov. Our common stock is traded on The Nasdaq Global Market under the symbol “ORKA.”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1238" w:right="49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acquiring any offered securities pursuant to this prospectus, you should carefully consider the information contained or incorporated by reference in this prospectus or in any accompanying prospectus supplement, including, without limitation, the risk factors described under “Risk Factors” in our most recent Annual Report on Form 10-K for the year ended December 31, 2025, which is incorporated herein by reference (as such risk factors may be updated in our other filings with the SEC pursuant to Sections 13(a), 13(c), 14, or 15(d) of the Exchange Act), and the risk factors described in any applicable prospectus supplement before making an investment decision. The occurrence of any of these risks might cause you to lose all or a part of your investment in the offered securities. See “Where You Can Find More Information” and “Special Note Regarding Forward-Looking Statements” included elsewhere in this prospectus.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from the sale of the securities offered by this prospectus.</w:t>
      </w: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900" w:right="7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well as other material terms of certain provisions of the Delaware General Corporation Law (the “DGCL”), our second amended and restated certificate of incorporation (“Certificate of Incorporation”) and amended and restated bylaws (“Bylaws”), both of which have been filed with the SEC, and are incorporated by reference herein. See “Where You Can Find More Information” for information on how to obtain copies. This summary does not purport to be complete and is qualified in its entirety by the provisions of our Certificate of Incorporation and Bylaws. We encourage you to read our Certificate of Incorporation, our Bylaws, and the applicable provisions of the DGCL for more information.</w:t>
      </w:r>
    </w:p>
    <w:p>
      <w:pPr>
        <w:spacing w:after="0" w:line="187" w:lineRule="exact"/>
        <w:rPr>
          <w:sz w:val="20"/>
          <w:szCs w:val="20"/>
          <w:color w:val="auto"/>
        </w:rPr>
      </w:pPr>
    </w:p>
    <w:p>
      <w:pPr>
        <w:jc w:val="both"/>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545,000,000 shares of common stock, $0.001 par value per share, and 5,000,000 shares of preferred stock, $0.001 par value per share (“Preferred Stock”), of which 251,504 shares have been designated as Series B Preferred Stock, $0.001 par value per share.</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48,722,309 shares of our common stock and 137,138 shares of Series B Preferred Stock outstanding, and no shares of Series A preferred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545,000,000 shares of common stock. All outstanding shares of common stock are validly issued, fully paid and nonassessable.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(“Board”), in its discretion, determines to issue dividends and then only at the times and in the amounts that our Board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Bylaws, 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divided into three classes with staggered three-year terms. Only one class of directors will be elected at each annual meeting of our stockholders, with the other classes continuing for the remainder of their respective three-year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Under the terms of our Certificate of Incorporation, our Board is authorized, subject to limitations prescribed by Delaware law, to issue up to 5,000,000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the Board can also increase or decrease the number of shares of any series of Preferred Stock, but not below the number of shares of that series then outstanding, without any further vote or action by our stockholders. 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issued shares of our Series A Preferred Stock and shares of our Series B Preferred Stock in connection with the Pre-Closing Financing and the Merger, respectively, and have no current plan to issue any additional shares of Preferred Stock. The terms “Pre-Closing Financing” and “Merger,” as used in this section, have the meanings ascribed to them in our Annual Report on Form 10-K for the year ended December 31, 2025, which is incorporated herein by reference. In November 2024, all outstanding shares of Series A Preferred Stock automatically converted into shares of common stock, at which point there were no shares of Series A Preferred Stock left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Holders of our Series B Preferred Stock are entitled to receive dividends on shares of Series B Preferred Stock equal to, on an as-if-converted-to-common-stock basis, and in the same form as dividends actually paid on shares of our common stock. Except as provided in the Series B Certificate of Designation or as otherwise required by law, the Series B Preferred Stock does not have voting rights. However, as long as any shares of Series B Preferred Stock are outstanding, we will not, without the affirmative vote of the holders of a majority of the then outstanding shares of the Series B Preferred Stock:</w:t>
      </w:r>
    </w:p>
    <w:p>
      <w:pPr>
        <w:spacing w:after="0" w:line="3" w:lineRule="exact"/>
        <w:rPr>
          <w:sz w:val="20"/>
          <w:szCs w:val="20"/>
          <w:color w:val="auto"/>
        </w:rPr>
      </w:pPr>
    </w:p>
    <w:p>
      <w:pPr>
        <w:ind w:firstLine="8"/>
        <w:spacing w:after="0" w:line="251"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alter or change adversely the powers, preferences or rights given to the Series B Preferred Stock, (ii) alter or amend the Series B Certificate of Designation, or (iii) amend or repeal any provision of, or add any provision to, our Certificate of Incorporation or Bylaws in a manner that adversely affects any rights of the holders of the Series B Preferred Stock,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(b) issue further shares of Series B Preferred Stock beyond those issued pursuant to the Merger Agreement or increase or decrease (other than by conversion) the number of authorized shares of Series B Preferred Stock, (c) at any time while at least 30% of the originally issued Series B Preferred Stock remains issued and outstanding, consummate either: (x) any Fundamental Transaction (as defined in the Series B Certificate of Designation) or (y) any merger or consolidation of the Company with or into another entity or any stock sale to, or other business combination in which the stockholders of the Company immediately before such transaction do not hold at least a majority of our capital stock immediately after such transaction, or (d) enter into any agreement with respect to any of the foregoing. The Series B Preferred Stock ranks on parity with the common stock as to the distribution of assets upon any liquidation, dissolution, or winding-up of the Company. Each share of Series B Preferred Stock is convertible at the option of the holder, at any time, and without the payment of additional consideration by the holder. As of December 31, 2025, each outstanding share of Series B Preferred Stock was convertible into common stock at a ratio of approximately 83.3332:1.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176" w:lineRule="exact"/>
        <w:rPr>
          <w:sz w:val="20"/>
          <w:szCs w:val="20"/>
          <w:color w:val="auto"/>
        </w:rPr>
      </w:pPr>
    </w:p>
    <w:p>
      <w:pPr>
        <w:ind w:left="660" w:right="5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 Provisions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could deter hostile takeovers or delay or prevent changes in control of our company, including the following:</w:t>
      </w:r>
    </w:p>
    <w:p>
      <w:pPr>
        <w:spacing w:after="0" w:line="158" w:lineRule="exact"/>
        <w:rPr>
          <w:sz w:val="20"/>
          <w:szCs w:val="20"/>
          <w:color w:val="auto"/>
        </w:rPr>
      </w:pPr>
    </w:p>
    <w:p>
      <w:pPr>
        <w:ind w:left="66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of Directors vacancies</w:t>
      </w:r>
      <w:r>
        <w:rPr>
          <w:rFonts w:ascii="Times New Roman" w:cs="Times New Roman" w:eastAsia="Times New Roman" w:hAnsi="Times New Roman"/>
          <w:sz w:val="18"/>
          <w:szCs w:val="18"/>
          <w:color w:val="auto"/>
        </w:rPr>
        <w:t>. Our Certificate of Incorporation and Bylaws require that the Board, and not stockholders, fill any directorships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vacant or are created by an increase in the authorized number of directors by the affirmative vote of a majority of the remaining directors or by the sole remaining director. In addition, pursuant to our Bylaws, the number of directors constituting our Board is permitted to be set only by a resolution adopted by a majority vote of the entire Board. These provisions prevent a stockholder from increasing the size of our Board and then gaining control of the Board by filling the resulting vacancies with its own nominees. This makes it more difficult to change the composition of the Board but promotes continuity of management.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 w:name="page33"/>
    <w:bookmarkEnd w:id="32"/>
    <w:p>
      <w:pPr>
        <w:ind w:left="660" w:right="100" w:hanging="328"/>
        <w:spacing w:after="0" w:line="26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Our Certificate of Incorporation provides that our Board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0" w:lineRule="exact"/>
        <w:rPr>
          <w:rFonts w:ascii="Times New Roman" w:cs="Times New Roman" w:eastAsia="Times New Roman" w:hAnsi="Times New Roman"/>
          <w:sz w:val="18"/>
          <w:szCs w:val="18"/>
          <w:color w:val="auto"/>
        </w:rPr>
      </w:pPr>
    </w:p>
    <w:p>
      <w:pPr>
        <w:ind w:left="660" w:right="100" w:hanging="328"/>
        <w:spacing w:after="0" w:line="25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action; special meetings of stockholders</w:t>
      </w:r>
      <w:r>
        <w:rPr>
          <w:rFonts w:ascii="Times New Roman" w:cs="Times New Roman" w:eastAsia="Times New Roman" w:hAnsi="Times New Roman"/>
          <w:sz w:val="18"/>
          <w:szCs w:val="18"/>
          <w:color w:val="auto"/>
        </w:rPr>
        <w:t>. Our Certificate of Incorporation and Bylaws provide that our stockholders may not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provide that special meetings of stockholders may be called only by the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2"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Bylaws provide advance notice procedures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ind w:left="660" w:right="220" w:hanging="328"/>
        <w:spacing w:after="0" w:line="317"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No cumulative voting</w:t>
      </w:r>
      <w:r>
        <w:rPr>
          <w:rFonts w:ascii="Times New Roman" w:cs="Times New Roman" w:eastAsia="Times New Roman" w:hAnsi="Times New Roman"/>
          <w:sz w:val="17"/>
          <w:szCs w:val="17"/>
          <w:color w:val="auto"/>
        </w:rPr>
        <w:t>. The DGCL provides that stockholders are not entitled to the right to cumulate votes in the election of directors unless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corporation’s certificate of incorporation provides otherwise. Our Certificate of Incorporation and Bylaws do not provide for cumulative voting.</w:t>
      </w:r>
    </w:p>
    <w:p>
      <w:pPr>
        <w:spacing w:after="0" w:line="131" w:lineRule="exact"/>
        <w:rPr>
          <w:rFonts w:ascii="Times New Roman" w:cs="Times New Roman" w:eastAsia="Times New Roman" w:hAnsi="Times New Roman"/>
          <w:sz w:val="17"/>
          <w:szCs w:val="17"/>
          <w:color w:val="auto"/>
        </w:rPr>
      </w:pPr>
    </w:p>
    <w:p>
      <w:pPr>
        <w:ind w:left="660" w:right="4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Directors removed only for cause</w:t>
      </w:r>
      <w:r>
        <w:rPr>
          <w:rFonts w:ascii="Times New Roman" w:cs="Times New Roman" w:eastAsia="Times New Roman" w:hAnsi="Times New Roman"/>
          <w:sz w:val="18"/>
          <w:szCs w:val="18"/>
          <w:color w:val="auto"/>
        </w:rPr>
        <w:t>. Our Bylaws provide that stockholders may remove directors only for cause, and only by the affirmative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at least 66 2/3% of the voting power of the stock outstanding and entitled to vote generally in the election of directors.</w:t>
      </w:r>
    </w:p>
    <w:p>
      <w:pPr>
        <w:spacing w:after="0" w:line="154"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charter provisions</w:t>
      </w:r>
      <w:r>
        <w:rPr>
          <w:rFonts w:ascii="Times New Roman" w:cs="Times New Roman" w:eastAsia="Times New Roman" w:hAnsi="Times New Roman"/>
          <w:sz w:val="18"/>
          <w:szCs w:val="18"/>
          <w:color w:val="auto"/>
        </w:rPr>
        <w:t>. Any amendment of the above provisions in our Certificate of Incorporation requires approval by holders of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two-thirds of our outstanding common stock.</w:t>
      </w:r>
    </w:p>
    <w:p>
      <w:pPr>
        <w:spacing w:after="0" w:line="154" w:lineRule="exact"/>
        <w:rPr>
          <w:rFonts w:ascii="Times New Roman" w:cs="Times New Roman" w:eastAsia="Times New Roman" w:hAnsi="Times New Roman"/>
          <w:sz w:val="18"/>
          <w:szCs w:val="18"/>
          <w:color w:val="auto"/>
        </w:rPr>
      </w:pPr>
    </w:p>
    <w:p>
      <w:pPr>
        <w:ind w:left="660" w:right="120" w:hanging="328"/>
        <w:spacing w:after="0" w:line="26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Preferred Stock</w:t>
      </w:r>
      <w:r>
        <w:rPr>
          <w:rFonts w:ascii="Times New Roman" w:cs="Times New Roman" w:eastAsia="Times New Roman" w:hAnsi="Times New Roman"/>
          <w:sz w:val="18"/>
          <w:szCs w:val="18"/>
          <w:color w:val="auto"/>
        </w:rPr>
        <w:t>. Our Board has the authority, without further action by the stockholders, to issue up to 5,000,000 shares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with rights and preferences, including voting rights, designated from time to time by our Board. The existence of authorized but unissued shares of Preferred Stock enables our Board to render more difficult or to discourage an attempt to obtain control of us by merger, tender offer, proxy contest or other means.</w:t>
      </w:r>
    </w:p>
    <w:p>
      <w:pPr>
        <w:spacing w:after="0" w:line="176"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Choice of forum</w:t>
      </w:r>
      <w:r>
        <w:rPr>
          <w:rFonts w:ascii="Times New Roman" w:cs="Times New Roman" w:eastAsia="Times New Roman" w:hAnsi="Times New Roman"/>
          <w:sz w:val="18"/>
          <w:szCs w:val="18"/>
          <w:color w:val="auto"/>
        </w:rPr>
        <w:t>. Our Certificate of Incorporation and Bylaws provide that the Court of Chancery of the State of Delaware is the sole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forum for any complaint asserting any internal corporate claims. In addition, our Bylaws also provide that the federal district courts of the United States are the exclusive forum for the resolution of any complaint asserting a cause of action arising under the Securities Act. These choice of forum provisions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Certificate of Incorporation and Bylaws contains the choice of forum provision described above, it is possible that a court could rule that such a provision is inapplicable for a particular claim or action or that such provision is unenforceable.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and Series B Preferred Stock is Computershare Trust Company, N.A. The transfer agent’s address is 150 Royall Street, Suite 101, Canton, MA 02021, and its telephone number is (800) 344-5128.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“ORKA.”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may issue depositary shares representing fractional interests in shares of our preferred stock of any series. The following description sets forth certain general terms and provisions of the depositary shares to which any prospectus supplement may relate. The particular terms of the depositary shares to which any prospectus supplement may relate and the extent, if any, to which the general terms and provisions may apply to the depositary shares so offered will be described in the applicable prospectus supplement. To the extent that any particular terms of the depositary shares, depositary agreements and depositary receipts described in a prospectus supplement differ from any of the terms described below, then the terms described below will be deemed to have been superseded by that prospectus supplement. We encourage you to read the applicable depositary agreement and depositary receipts for additional information before you decide whether to purchase any of our depositary shares.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Immediately following our issuance of the security related to the depositary shares, we will deposit the shares of our preferred stock with the relevant depositary and will cause the depositary to issue, on our behalf, the related depositary receipts. Subject to the terms of the depositary agreement, each owner of a depositary receipt will be entitled, in proportion to the fractional interest in the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sinking fund, subscription and liquidation rights).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preferred stock or common stock. We may issue warrants independently or together with other securities. Warrants sold with other securities may be attached to or separate from the other securities. Each series of warrants will be issued under a separate warrant agreement to be entered into between us and the investors(s) or a warrant agent.</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may include some or all of the following, and such terms may differ from those described herein:</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purchasable upon exercise of such warrants and the number of such securities issuable upon exercise of such warrants;</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securities purchasable upon exercise of such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description in the prospectus supplement will not necessarily be complete and will be qualified in its entirety by reference to the applicable warrant agreement, which will be filed with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offer and sell the securities being offered hereby in one or more of the following ways from time to time:</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or dealers for resale to the public or to institutional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institutional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the public or to institutional investors;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with respect to each series of securities will state the terms of the offering of the securities,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terms, including 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to be received by us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securities may be listed.</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use underwriters or dealers in the sale, the securities will be acquired by the underwriters or dealers for their own account and may be resold from time to time in one or more transactions, including:</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00" w:right="7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may be offered either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common shares. The third party in such sale transactions will be an underwriter and, if not identified in this prospectus, will be identified in the applicable prospectus supplement or a post-effective amendment to this registration statement.</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If indicated in an applicable prospectus supplement, 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delayed delivery contracts will be subject only to those conditions set forth in the applicable prospectus supplement, and the applicable prospectus supplement will set forth any commissions we pay for solicitation of these delayed delivery contracts.</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Agents, underwriters and other third parties described above may be entitled to indemnification by us against certain civil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common stock, which is listed on the Nasdaq Global Market. Any common stock sold will be listed on the Nasdaq Global Market, upon official notice of issuance. The securities other than the common stock may or may not be listed on a national securities exchange and no assurance can be given that there will be a secondary market for any such securities or liquidity in the secondary market if one develops. Any underwriters to whom securities are sold by us for public offering and sale may make a market in the securities, but such underwriters will not be obligated to do so and may discontinue any market making at any time without notice.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unless otherwise stated in the applicable prospectus supplement, the validity of those securities will be passed upon for us by Davis Polk &amp; Wardwell LLP, Redwood City, California. Any underwriters, agents, or dealers will also be advised about legal matters by their own counsel, which will be named in the applicable prospectus supplement.</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is part of the registration statement that we filed with the SEC under the Securities Act and does not contain all the information set forth or incorporated by reference in the registration statement. You should review the information and exhibits in the registration statement for further information on us and the securities that we are offering. We file annual, quarterly and current reports, proxy statements and other information with the SEC. The SEC maintains a website at www.sec.gov that contains reports, proxy and information statements and other information we have filed electronically with the SEC. These reports, proxy statements and other information can also be read on our website at www.orukatx.com. Information contained on, or accessible through, our website is not incorporated by reference into this prospectus.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or any subsequently filed document deemed incorporated by reference. This prospectus and any accompanying prospectus supplement incorporate by reference the documents set forth below that we have previously filed with the SEC:</w:t>
      </w:r>
    </w:p>
    <w:p>
      <w:pPr>
        <w:spacing w:after="0" w:line="18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12, 2026;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which is contained in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12, 2026, including any amendments or reports filed for the purposes of updating such description.</w:t>
      </w:r>
    </w:p>
    <w:p>
      <w:pPr>
        <w:spacing w:after="0" w:line="162" w:lineRule="exact"/>
        <w:rPr>
          <w:rFonts w:ascii="Times New Roman" w:cs="Times New Roman" w:eastAsia="Times New Roman" w:hAnsi="Times New Roman"/>
          <w:sz w:val="18"/>
          <w:szCs w:val="18"/>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not, however, incorporating by reference any documents or portions thereof, whether specifically listed above or filed in the future, that are not deemed “filed” with the SEC, including any information furnished pursuant to Items 2.02 or 7.01 of Form 8-K or certain exhibits furnished pursuant to Item 9.01 of Form 8-K. All documents filed by us pursuant to Sections 13(a), 13(c), 14 or 15(d) of the Exchange Act on or after the date of the registration statement of which this prospectus forms a part and prior to its effectiveness and before the termination of the offering of all securities under this prospectus and any prospectus supplement shall also be deemed to be incorporated herein by reference. The most recent information that we file with the SEC automatically updates and supersedes older information. The information contained in any such filing will be deemed to be a part of this prospectus, commencing on the date on which the document is filed.</w:t>
      </w:r>
    </w:p>
    <w:p>
      <w:pPr>
        <w:spacing w:after="0" w:line="189" w:lineRule="exact"/>
        <w:rPr>
          <w:rFonts w:ascii="Times New Roman" w:cs="Times New Roman" w:eastAsia="Times New Roman" w:hAnsi="Times New Roman"/>
          <w:sz w:val="18"/>
          <w:szCs w:val="18"/>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We will furnish without charge to each person, including any beneficial owner, to whom a prospectus is delivered, upon written or oral request, a copy of any or all of the reports or documents incorporated by reference, including exhibits to these documents. You should direct any requests for documents to:</w:t>
      </w:r>
    </w:p>
    <w:p>
      <w:pPr>
        <w:spacing w:after="0" w:line="14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606-7910.</w:t>
      </w:r>
    </w:p>
    <w:p>
      <w:pPr>
        <w:spacing w:after="0" w:line="207" w:lineRule="exact"/>
        <w:rPr>
          <w:rFonts w:ascii="Times New Roman" w:cs="Times New Roman" w:eastAsia="Times New Roman" w:hAnsi="Times New Roman"/>
          <w:sz w:val="18"/>
          <w:szCs w:val="18"/>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documents outlined above are also available on our website at www.orukatx.com. Information contained on, or accessible through, our website is not incorporated by reference in this prospectus.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as well as the documents we have filed with the SEC incorporated by reference herein contain “forward-looking statements” within the meaning of Section 27A of the Securities Act of 1933, as amended, (the “Securities Act”) and Section 21E of the Securities Exchange Act of 1934, as amended (the “Exchange Act”). These forward-looking statements reflect our current views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We discuss in greater detail, and incorporate by reference into this prospectus in their entirety, many of these risks and uncertainties under the section titled “Risk Factors” contained in the applicable prospectus supplement, in any free writing prospectus we may authorize for use in connection with a specific offering, and in our most recent Annual Report on Form 10-K and Quarterly Reports on Form 10-Q, as well as any amendments thereto reflected in subsequent filings with the SEC.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prospectus, the applicable prospectus supplement and the documents incorporated by reference herein in the context of these risks and uncertainties. We caution you that the risks, uncertainties and other factors referred to in this prospectus, the applicable prospectus supplement and the documents incorporated by reference herein may not contain all of the risks, uncertainties and other factors that may affect our future results and operations. Moreover, we operate in a very competitive and rapidly changing environment, and new risks and uncertainties emerge from time to time.</w:t>
      </w:r>
    </w:p>
    <w:p>
      <w:pPr>
        <w:spacing w:after="0" w:line="19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the applicable prospectus supplement and the documents incorporated by reference herein,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only the date of the document containing the applicable statement and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the documents incorporated by reference herein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herein or to reflect the occurrence of unanticipated events, except as may be required under applicable U.S. securities laws. You should read this prospectus, and the applicable prospectus supplement, together with the documents we have filed with the SEC that are incorporated by reference herein,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586105</wp:posOffset>
            </wp:positionV>
            <wp:extent cx="1774190" cy="59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9,660,000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4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48"/>
        </w:trPr>
        <w:tc>
          <w:tcPr>
            <w:tcW w:w="23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Leerink Partners</w:t>
            </w:r>
          </w:p>
        </w:tc>
        <w:tc>
          <w:tcPr>
            <w:tcW w:w="17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TD Cowen</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Goldman Sachs &amp; Co. LLC</w:t>
            </w:r>
          </w:p>
        </w:tc>
        <w:tc>
          <w:tcPr>
            <w:tcW w:w="14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Stifel</w:t>
            </w:r>
          </w:p>
        </w:tc>
        <w:tc>
          <w:tcPr>
            <w:tcW w:w="25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Guggenheim Securities</w:t>
            </w:r>
          </w:p>
        </w:tc>
      </w:tr>
      <w:tr>
        <w:trPr>
          <w:trHeight w:val="432"/>
        </w:trPr>
        <w:tc>
          <w:tcPr>
            <w:tcW w:w="2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LifeSci Capital</w:t>
            </w:r>
          </w:p>
        </w:tc>
        <w:tc>
          <w:tcPr>
            <w:tcW w:w="14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32"/>
        </w:trPr>
        <w:tc>
          <w:tcPr>
            <w:tcW w:w="2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April 28, 2026</w:t>
            </w:r>
          </w:p>
        </w:tc>
        <w:tc>
          <w:tcPr>
            <w:tcW w:w="14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55"/>
        </w:trPr>
        <w:tc>
          <w:tcPr>
            <w:tcW w:w="2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lowerRoman"/>
      <w:start w:val="6"/>
    </w:lvl>
  </w:abstractNum>
  <w:abstractNum w:abstractNumId="9">
    <w:nsid w:val="431BD7B7"/>
    <w:multiLevelType w:val="hybridMultilevel"/>
    <w:lvl w:ilvl="0">
      <w:lvlJc w:val="left"/>
      <w:lvlText w:val="(%1)"/>
      <w:numFmt w:val="lowerRoman"/>
      <w:start w:val="8"/>
    </w:lvl>
  </w:abstractNum>
  <w:abstractNum w:abstractNumId="10">
    <w:nsid w:val="3F2DBA31"/>
    <w:multiLevelType w:val="hybridMultilevel"/>
    <w:lvl w:ilvl="0">
      <w:lvlJc w:val="left"/>
      <w:lvlText w:val="%1."/>
      <w:numFmt w:val="upperLetter"/>
      <w:start w:val="1"/>
    </w:lvl>
  </w:abstractNum>
  <w:abstractNum w:abstractNumId="11">
    <w:nsid w:val="7C83E458"/>
    <w:multiLevelType w:val="hybridMultilevel"/>
    <w:lvl w:ilvl="0">
      <w:lvlJc w:val="left"/>
      <w:lvlText w:val="%1."/>
      <w:numFmt w:val="upperLetter"/>
      <w:start w:val="1"/>
    </w:lvl>
  </w:abstractNum>
  <w:abstractNum w:abstractNumId="12">
    <w:nsid w:val="257130A3"/>
    <w:multiLevelType w:val="hybridMultilevel"/>
    <w:lvl w:ilvl="0">
      <w:lvlJc w:val="left"/>
      <w:lvlText w:val="(%1)"/>
      <w:numFmt w:val="lowerRoman"/>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jpe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jpeg"/><Relationship Id="rId34" Type="http://schemas.openxmlformats.org/officeDocument/2006/relationships/hyperlink" Target="http://www.sec.gov/ix?doc=/Archives/edgar/data/907654/000121390026026929/ea0273300-10k_oruka.htm" TargetMode="External"/><Relationship Id="rId35" Type="http://schemas.openxmlformats.org/officeDocument/2006/relationships/hyperlink" Target="http://www.sec.gov/ix?doc=/Archives/edgar/data/907654/000121390026045159/ea0286400-01.htm" TargetMode="External"/><Relationship Id="rId36" Type="http://schemas.openxmlformats.org/officeDocument/2006/relationships/hyperlink" Target="https://www.sec.gov/ix?doc=/Archives/edgar/data/907654/000121390026047743/ea0287782-8k_oruka.htm" TargetMode="External"/><Relationship Id="rId37" Type="http://schemas.openxmlformats.org/officeDocument/2006/relationships/hyperlink" Target="http://www.sec.gov/Archives/edgar/data/907654/000121390025021165/ea023044501ex4-1_orukath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2026-04-29T17:30:39Z</dcterms:created>
  <dcterms:modified xsi:type="dcterms:W3CDTF">2026-04-29T17:30:39Z</dcterms:modified>
</cp:coreProperties>
</file>