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80818d10k.htm"/>
        <w:bookmarkStart w:id="1" w:name="ksd280818d10k"/>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3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10-K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45" w:after="0"/>
        <w:rPr>
          <w:rFonts w:ascii="Times New Roman" w:hAnsi="Times New Roman"/>
          <w:b/>
          <w:sz w:val="20"/>
        </w:rPr>
      </w:pPr>
      <w:r>
        <w:rPr>
          <w:rFonts w:ascii="Times New Roman" w:hAnsi="Times New Roman"/>
          <w:b/>
          <w:sz w:val="20"/>
        </w:rPr>
        <w:t xml:space="preserve">(Mark 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spacing w:before="45" w:after="0"/>
        <w:jc w:val="center"/>
        <w:rPr>
          <w:rFonts w:ascii="Times New Roman" w:hAnsi="Times New Roman"/>
          <w:b/>
          <w:sz w:val="20"/>
        </w:rPr>
      </w:pPr>
      <w:r>
        <w:rPr>
          <w:rFonts w:ascii="Times New Roman" w:hAnsi="Times New Roman"/>
          <w:b/>
          <w:sz w:val="20"/>
        </w:rPr>
        <w:t xml:space="preserve">For the fiscal year ended December 31, 2011 </w:t>
      </w:r>
    </w:p>
    <w:p>
      <w:pPr>
        <w:pStyle w:val="TextBody"/>
        <w:spacing w:before="45"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45" w:after="0"/>
        <w:jc w:val="center"/>
        <w:rPr>
          <w:rFonts w:ascii="Times New Roman" w:hAnsi="Times New Roman"/>
          <w:b/>
          <w:sz w:val="20"/>
        </w:rPr>
      </w:pPr>
      <w:r>
        <w:rPr>
          <w:rFonts w:ascii="Times New Roman" w:hAnsi="Times New Roman"/>
          <w:b/>
          <w:sz w:val="20"/>
        </w:rPr>
        <w:t xml:space="preserve">For the transition period from              to              </w:t>
      </w:r>
    </w:p>
    <w:p>
      <w:pPr>
        <w:pStyle w:val="TextBody"/>
        <w:spacing w:before="45" w:after="0"/>
        <w:jc w:val="center"/>
        <w:rPr>
          <w:rFonts w:ascii="Times New Roman" w:hAnsi="Times New Roman"/>
          <w:b/>
          <w:sz w:val="20"/>
        </w:rPr>
      </w:pPr>
      <w:r>
        <w:rPr>
          <w:rFonts w:ascii="Times New Roman" w:hAnsi="Times New Roman"/>
          <w:b/>
          <w:sz w:val="20"/>
        </w:rPr>
        <w:t xml:space="preserve">Commission File Number: 000-22873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45" w:after="0"/>
        <w:jc w:val="center"/>
        <w:rPr>
          <w:rFonts w:ascii="Times New Roman" w:hAnsi="Times New Roman"/>
          <w:b/>
          <w:sz w:val="48"/>
        </w:rPr>
      </w:pPr>
      <w:r>
        <w:rPr>
          <w:rFonts w:ascii="Times New Roman" w:hAnsi="Times New Roman"/>
          <w:b/>
          <w:sz w:val="48"/>
        </w:rPr>
        <w:t xml:space="preserve">ARCA BIOPHARMA, INC. </w:t>
      </w:r>
    </w:p>
    <w:p>
      <w:pPr>
        <w:pStyle w:val="TextBody"/>
        <w:spacing w:before="45"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3"/>
        <w:gridCol w:w="403"/>
        <w:gridCol w:w="4799"/>
      </w:tblGrid>
      <w:tr>
        <w:trPr/>
        <w:tc>
          <w:tcPr>
            <w:tcW w:w="50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4799" w:type="dxa"/>
            <w:tcBorders/>
            <w:shd w:fill="auto" w:val="clear"/>
            <w:vAlign w:val="center"/>
          </w:tcPr>
          <w:p>
            <w:pPr>
              <w:pStyle w:val="TableContents"/>
              <w:spacing w:before="0" w:after="283"/>
              <w:rPr>
                <w:sz w:val="4"/>
                <w:szCs w:val="4"/>
              </w:rPr>
            </w:pPr>
            <w:r>
              <w:rPr>
                <w:sz w:val="4"/>
                <w:szCs w:val="4"/>
              </w:rPr>
            </w:r>
          </w:p>
        </w:tc>
      </w:tr>
      <w:tr>
        <w:trPr/>
        <w:tc>
          <w:tcPr>
            <w:tcW w:w="50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36-3855489</w:t>
            </w:r>
          </w:p>
        </w:tc>
      </w:tr>
      <w:tr>
        <w:trPr/>
        <w:tc>
          <w:tcPr>
            <w:tcW w:w="5003"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w:t>
              <w:br/>
              <w:t>Incorporation or Organization)</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c>
          <w:tcPr>
            <w:tcW w:w="50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8001 Arista Place, Suite 430, Broomfield, CO</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80021</w:t>
            </w:r>
          </w:p>
        </w:tc>
      </w:tr>
      <w:tr>
        <w:trPr/>
        <w:tc>
          <w:tcPr>
            <w:tcW w:w="5003"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403" w:type="dxa"/>
            <w:tcBorders/>
            <w:shd w:fill="auto" w:val="clear"/>
            <w:vAlign w:val="bottom"/>
          </w:tcPr>
          <w:p>
            <w:pPr>
              <w:pStyle w:val="TableContents"/>
              <w:spacing w:before="0" w:after="283"/>
              <w:rPr/>
            </w:pPr>
            <w:r>
              <w:rPr/>
              <w:t> </w:t>
            </w:r>
          </w:p>
        </w:tc>
        <w:tc>
          <w:tcPr>
            <w:tcW w:w="479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45" w:after="0"/>
        <w:jc w:val="center"/>
        <w:rPr>
          <w:rFonts w:ascii="Times New Roman" w:hAnsi="Times New Roman"/>
          <w:b/>
          <w:sz w:val="20"/>
        </w:rPr>
      </w:pPr>
      <w:r>
        <w:rPr>
          <w:rFonts w:ascii="Times New Roman" w:hAnsi="Times New Roman"/>
          <w:b/>
          <w:sz w:val="20"/>
        </w:rPr>
        <w:t xml:space="preserve">(720) 940-2200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45" w:after="0"/>
        <w:jc w:val="center"/>
        <w:rPr>
          <w:rFonts w:ascii="Times New Roman" w:hAnsi="Times New Roman"/>
          <w:b/>
          <w:sz w:val="20"/>
        </w:rPr>
      </w:pPr>
      <w:r>
        <w:rPr>
          <w:rFonts w:ascii="Times New Roman" w:hAnsi="Times New Roman"/>
          <w:b/>
          <w:sz w:val="20"/>
        </w:rPr>
        <w:t xml:space="preserve">Securities registered pursuant to Section 12(b)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 of Each Class</w:t>
            </w:r>
          </w:p>
        </w:tc>
        <w:tc>
          <w:tcPr>
            <w:tcW w:w="407"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Name of Each Exchange on Which Registered</w:t>
            </w:r>
          </w:p>
        </w:tc>
      </w:tr>
      <w:tr>
        <w:trPr/>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Common Stock $0.001 par value</w:t>
            </w:r>
          </w:p>
        </w:tc>
        <w:tc>
          <w:tcPr>
            <w:tcW w:w="407"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Nasdaq Capital Market</w:t>
            </w:r>
          </w:p>
        </w:tc>
      </w:tr>
    </w:tbl>
    <w:p>
      <w:pPr>
        <w:pStyle w:val="TextBody"/>
        <w:spacing w:before="45" w:after="0"/>
        <w:jc w:val="center"/>
        <w:rPr>
          <w:rFonts w:ascii="Times New Roman" w:hAnsi="Times New Roman"/>
          <w:b/>
          <w:sz w:val="20"/>
        </w:rPr>
      </w:pPr>
      <w:r>
        <w:rPr>
          <w:rFonts w:ascii="Times New Roman" w:hAnsi="Times New Roman"/>
          <w:b/>
          <w:sz w:val="20"/>
        </w:rPr>
        <w:t xml:space="preserve">Securities registered pursuant to Section 12(g) of the Exchange Act: None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45" w:after="0"/>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spacing w:before="45" w:after="0"/>
        <w:rPr>
          <w:rFonts w:ascii="Times New Roman" w:hAnsi="Times New Roman"/>
          <w:sz w:val="20"/>
        </w:rPr>
      </w:pPr>
      <w:r>
        <w:rPr>
          <w:rFonts w:ascii="Times New Roman" w:hAnsi="Times New Roman"/>
          <w:sz w:val="20"/>
        </w:rPr>
        <w:t xml:space="preserve">Indicate by check mark if the registrant is not required to file reports pursuant to Section 13 and Section 15(d) of the Act.    Yes  ☐    No  ☑ </w:t>
      </w:r>
    </w:p>
    <w:p>
      <w:pPr>
        <w:pStyle w:val="TextBody"/>
        <w:spacing w:before="45"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45"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    No  ☐ </w:t>
      </w:r>
    </w:p>
    <w:p>
      <w:pPr>
        <w:pStyle w:val="TextBody"/>
        <w:spacing w:before="45" w:after="0"/>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45"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89"/>
        <w:gridCol w:w="93"/>
        <w:gridCol w:w="23"/>
        <w:gridCol w:w="120"/>
        <w:gridCol w:w="3060"/>
        <w:gridCol w:w="93"/>
        <w:gridCol w:w="27"/>
      </w:tblGrid>
      <w:tr>
        <w:trPr/>
        <w:tc>
          <w:tcPr>
            <w:tcW w:w="6789"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center"/>
          </w:tcPr>
          <w:p>
            <w:pPr>
              <w:pStyle w:val="TableContents"/>
              <w:spacing w:before="0" w:after="283"/>
              <w:rPr>
                <w:sz w:val="4"/>
                <w:szCs w:val="4"/>
              </w:rPr>
            </w:pPr>
            <w:r>
              <w:rPr>
                <w:sz w:val="4"/>
                <w:szCs w:val="4"/>
              </w:rPr>
            </w:r>
          </w:p>
        </w:tc>
      </w:tr>
      <w:tr>
        <w:trPr/>
        <w:tc>
          <w:tcPr>
            <w:tcW w:w="67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  ☐</w:t>
            </w:r>
          </w:p>
        </w:tc>
        <w:tc>
          <w:tcPr>
            <w:tcW w:w="9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  ☐</w:t>
            </w:r>
          </w:p>
        </w:tc>
        <w:tc>
          <w:tcPr>
            <w:tcW w:w="93" w:type="dxa"/>
            <w:tcBorders/>
            <w:shd w:fill="auto" w:val="clear"/>
            <w:vAlign w:val="bottom"/>
          </w:tcPr>
          <w:p>
            <w:pPr>
              <w:pStyle w:val="TableContents"/>
              <w:spacing w:before="0" w:after="283"/>
              <w:rPr/>
            </w:pPr>
            <w:r>
              <w:rPr/>
              <w:t> </w:t>
            </w:r>
          </w:p>
        </w:tc>
        <w:tc>
          <w:tcPr>
            <w:tcW w:w="27" w:type="dxa"/>
            <w:tcBorders/>
            <w:shd w:fill="auto" w:val="clear"/>
            <w:vAlign w:val="bottom"/>
          </w:tcPr>
          <w:p>
            <w:pPr>
              <w:pStyle w:val="TableContents"/>
              <w:spacing w:before="0" w:after="283"/>
              <w:rPr>
                <w:sz w:val="4"/>
                <w:szCs w:val="4"/>
              </w:rPr>
            </w:pPr>
            <w:r>
              <w:rPr>
                <w:sz w:val="4"/>
                <w:szCs w:val="4"/>
              </w:rPr>
            </w:r>
          </w:p>
        </w:tc>
      </w:tr>
      <w:tr>
        <w:trPr/>
        <w:tc>
          <w:tcPr>
            <w:tcW w:w="67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  ☐  (Do not check if a smaller reporting  company)</w:t>
            </w:r>
          </w:p>
        </w:tc>
        <w:tc>
          <w:tcPr>
            <w:tcW w:w="9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  ☑</w:t>
            </w:r>
          </w:p>
        </w:tc>
        <w:tc>
          <w:tcPr>
            <w:tcW w:w="93" w:type="dxa"/>
            <w:tcBorders/>
            <w:shd w:fill="auto" w:val="clear"/>
            <w:vAlign w:val="bottom"/>
          </w:tcPr>
          <w:p>
            <w:pPr>
              <w:pStyle w:val="TableContents"/>
              <w:spacing w:before="0" w:after="283"/>
              <w:rPr/>
            </w:pPr>
            <w:r>
              <w:rPr/>
              <w:t> </w:t>
            </w:r>
          </w:p>
        </w:tc>
        <w:tc>
          <w:tcPr>
            <w:tcW w:w="27" w:type="dxa"/>
            <w:tcBorders/>
            <w:shd w:fill="auto" w:val="clear"/>
            <w:vAlign w:val="bottom"/>
          </w:tcPr>
          <w:p>
            <w:pPr>
              <w:pStyle w:val="TableContents"/>
              <w:spacing w:before="0" w:after="283"/>
              <w:rPr>
                <w:sz w:val="4"/>
                <w:szCs w:val="4"/>
              </w:rPr>
            </w:pPr>
            <w:r>
              <w:rPr>
                <w:sz w:val="4"/>
                <w:szCs w:val="4"/>
              </w:rPr>
            </w:r>
          </w:p>
        </w:tc>
      </w:tr>
    </w:tbl>
    <w:p>
      <w:pPr>
        <w:pStyle w:val="TextBody"/>
        <w:spacing w:before="45" w:after="0"/>
        <w:rPr>
          <w:rFonts w:ascii="Times New Roman" w:hAnsi="Times New Roman"/>
          <w:sz w:val="20"/>
        </w:rPr>
      </w:pPr>
      <w:r>
        <w:rPr>
          <w:rFonts w:ascii="Times New Roman" w:hAnsi="Times New Roman"/>
          <w:sz w:val="20"/>
        </w:rPr>
        <w:t xml:space="preserve">Indicate by check mark whether the registrant is a shell company (as defined in Rule 12b-2 of the Act).    Yes  ☐    No  ☑ </w:t>
      </w:r>
    </w:p>
    <w:p>
      <w:pPr>
        <w:pStyle w:val="TextBody"/>
        <w:spacing w:before="45" w:after="0"/>
        <w:rPr>
          <w:rFonts w:ascii="Times New Roman" w:hAnsi="Times New Roman"/>
          <w:sz w:val="20"/>
        </w:rPr>
      </w:pPr>
      <w:r>
        <w:rPr>
          <w:rFonts w:ascii="Times New Roman" w:hAnsi="Times New Roman"/>
          <w:sz w:val="20"/>
        </w:rPr>
        <w:t xml:space="preserve">The aggregate market value of the common stock held by non-affiliates of the Registrant on June 30, 2011, the last business day of the most recently completed second fiscal quarter, was $14,193,288 based on the last sale price of the common stock as reported on that day by the Nasdaq Capital Market. </w:t>
      </w:r>
    </w:p>
    <w:p>
      <w:pPr>
        <w:pStyle w:val="TextBody"/>
        <w:spacing w:before="45" w:after="0"/>
        <w:rPr>
          <w:rFonts w:ascii="Times New Roman" w:hAnsi="Times New Roman"/>
          <w:sz w:val="20"/>
        </w:rPr>
      </w:pPr>
      <w:r>
        <w:rPr>
          <w:rFonts w:ascii="Times New Roman" w:hAnsi="Times New Roman"/>
          <w:sz w:val="20"/>
        </w:rPr>
        <w:t xml:space="preserve">As of March 23, 2012 the Registrant had 12,182,999 shares of common stock outstanding. </w:t>
      </w:r>
    </w:p>
    <w:p>
      <w:pPr>
        <w:pStyle w:val="TextBody"/>
        <w:spacing w:before="45" w:after="0"/>
        <w:jc w:val="center"/>
        <w:rPr>
          <w:rFonts w:ascii="Times New Roman" w:hAnsi="Times New Roman"/>
          <w:b/>
          <w:sz w:val="20"/>
        </w:rPr>
      </w:pPr>
      <w:r>
        <w:rPr>
          <w:rFonts w:ascii="Times New Roman" w:hAnsi="Times New Roman"/>
          <w:b/>
          <w:sz w:val="20"/>
        </w:rPr>
        <w:t xml:space="preserve">DOCUMENTS INCORPORATED BY REFERENCE </w:t>
      </w:r>
    </w:p>
    <w:p>
      <w:pPr>
        <w:pStyle w:val="TextBody"/>
        <w:spacing w:before="45" w:after="0"/>
        <w:rPr>
          <w:rFonts w:ascii="Times New Roman" w:hAnsi="Times New Roman"/>
          <w:sz w:val="20"/>
        </w:rPr>
      </w:pPr>
      <w:r>
        <w:rPr>
          <w:rFonts w:ascii="Times New Roman" w:hAnsi="Times New Roman"/>
          <w:sz w:val="20"/>
        </w:rPr>
        <w:t xml:space="preserve">Portions of the Registrants Definitive Proxy Statement, which will be filed with the Commission pursuant to Section 14A in connection with the 2011 annual meeting of stockholders, are incorporated by reference into Part III of this Form 10-K.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5"/>
        <w:gridCol w:w="253"/>
        <w:gridCol w:w="60"/>
        <w:gridCol w:w="235"/>
        <w:gridCol w:w="122"/>
      </w:tblGrid>
      <w:tr>
        <w:trPr/>
        <w:tc>
          <w:tcPr>
            <w:tcW w:w="953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rFonts w:ascii="Times New Roman" w:hAnsi="Times New Roman"/>
                <w:sz w:val="20"/>
              </w:rPr>
            </w:pPr>
            <w:r>
              <w:rPr>
                <w:rFonts w:ascii="Times New Roman" w:hAnsi="Times New Roman"/>
                <w:sz w:val="20"/>
              </w:rPr>
              <w:t>PART I</w:t>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pPr>
            <w:hyperlink w:anchor="tx280818_1">
              <w:r>
                <w:rPr>
                  <w:rStyle w:val="InternetLink"/>
                  <w:rFonts w:ascii="Times New Roman" w:hAnsi="Times New Roman"/>
                  <w:sz w:val="20"/>
                </w:rPr>
                <w:t>Item 1. Business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2">
              <w:r>
                <w:rPr>
                  <w:rStyle w:val="InternetLink"/>
                  <w:rFonts w:ascii="Times New Roman" w:hAnsi="Times New Roman"/>
                  <w:sz w:val="20"/>
                </w:rPr>
                <w:t>Item 1A. Risk Factors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3">
              <w:r>
                <w:rPr>
                  <w:rStyle w:val="InternetLink"/>
                  <w:rFonts w:ascii="Times New Roman" w:hAnsi="Times New Roman"/>
                  <w:sz w:val="20"/>
                </w:rPr>
                <w:t>Item 1B. Unresolved Staff Comments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4">
              <w:r>
                <w:rPr>
                  <w:rStyle w:val="InternetLink"/>
                  <w:rFonts w:ascii="Times New Roman" w:hAnsi="Times New Roman"/>
                  <w:sz w:val="20"/>
                </w:rPr>
                <w:t>Item 2. Properties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5">
              <w:r>
                <w:rPr>
                  <w:rStyle w:val="InternetLink"/>
                  <w:rFonts w:ascii="Times New Roman" w:hAnsi="Times New Roman"/>
                  <w:sz w:val="20"/>
                </w:rPr>
                <w:t>Item 3. Legal Proceedings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6">
              <w:r>
                <w:rPr>
                  <w:rStyle w:val="InternetLink"/>
                  <w:rFonts w:ascii="Times New Roman" w:hAnsi="Times New Roman"/>
                  <w:sz w:val="20"/>
                </w:rPr>
                <w:t>Item 4. Mine Safety Disclosures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r>
        <w:trPr>
          <w:trHeight w:val="120" w:hRule="atLeast"/>
        </w:trPr>
        <w:tc>
          <w:tcPr>
            <w:tcW w:w="9535" w:type="dxa"/>
            <w:tcBorders/>
            <w:shd w:fill="auto" w:val="clear"/>
            <w:vAlign w:val="center"/>
          </w:tcPr>
          <w:p>
            <w:pPr>
              <w:pStyle w:val="TableContents"/>
              <w:spacing w:before="0" w:after="283"/>
              <w:rPr>
                <w:sz w:val="4"/>
                <w:szCs w:val="4"/>
              </w:rPr>
            </w:pPr>
            <w:r>
              <w:rPr>
                <w:sz w:val="4"/>
                <w:szCs w:val="4"/>
              </w:rPr>
            </w:r>
          </w:p>
        </w:tc>
        <w:tc>
          <w:tcPr>
            <w:tcW w:w="670" w:type="dxa"/>
            <w:gridSpan w:val="4"/>
            <w:tcBorders/>
            <w:shd w:fill="auto" w:val="clear"/>
            <w:vAlign w:val="center"/>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rFonts w:ascii="Times New Roman" w:hAnsi="Times New Roman"/>
                <w:sz w:val="20"/>
              </w:rPr>
            </w:pPr>
            <w:r>
              <w:rPr>
                <w:rFonts w:ascii="Times New Roman" w:hAnsi="Times New Roman"/>
                <w:sz w:val="20"/>
              </w:rPr>
              <w:t>PART II</w:t>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pPr>
            <w:hyperlink w:anchor="tx280818_7">
              <w:r>
                <w:rPr>
                  <w:rStyle w:val="InternetLink"/>
                  <w:rFonts w:ascii="Times New Roman" w:hAnsi="Times New Roman"/>
                  <w:sz w:val="20"/>
                </w:rPr>
                <w:t>Item  5. Market for Registrants Common Equity, Related Stockholder Matters and Issuer Purchases of Equity Securities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8">
              <w:r>
                <w:rPr>
                  <w:rStyle w:val="InternetLink"/>
                  <w:rFonts w:ascii="Times New Roman" w:hAnsi="Times New Roman"/>
                  <w:sz w:val="20"/>
                </w:rPr>
                <w:t>Item 6. Selected Financial Data</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9">
              <w:r>
                <w:rPr>
                  <w:rStyle w:val="InternetLink"/>
                  <w:rFonts w:ascii="Times New Roman" w:hAnsi="Times New Roman"/>
                  <w:sz w:val="20"/>
                </w:rPr>
                <w:t>Item 7. Managements Discussion and Analysis of Financial Condition and Results of Operations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0">
              <w:r>
                <w:rPr>
                  <w:rStyle w:val="InternetLink"/>
                  <w:rFonts w:ascii="Times New Roman" w:hAnsi="Times New Roman"/>
                  <w:sz w:val="20"/>
                </w:rPr>
                <w:t>Item 7A. Quantitative and Qualitative Disclosures About Market Risk</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1">
              <w:r>
                <w:rPr>
                  <w:rStyle w:val="InternetLink"/>
                  <w:rFonts w:ascii="Times New Roman" w:hAnsi="Times New Roman"/>
                  <w:sz w:val="20"/>
                </w:rPr>
                <w:t>Item 8. Financial Statements and Supplementary Data</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2">
              <w:r>
                <w:rPr>
                  <w:rStyle w:val="InternetLink"/>
                  <w:rFonts w:ascii="Times New Roman" w:hAnsi="Times New Roman"/>
                  <w:sz w:val="20"/>
                </w:rPr>
                <w:t>REPORT OF INDEPENDENT REGISTERED PUBLIC ACCOUNTING FIRM, KPMG LLP</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3">
              <w:r>
                <w:rPr>
                  <w:rStyle w:val="InternetLink"/>
                  <w:rFonts w:ascii="Times New Roman" w:hAnsi="Times New Roman"/>
                  <w:sz w:val="20"/>
                </w:rPr>
                <w:t>CONSOLIDATED BALANCE SHEETS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4">
              <w:r>
                <w:rPr>
                  <w:rStyle w:val="InternetLink"/>
                  <w:rFonts w:ascii="Times New Roman" w:hAnsi="Times New Roman"/>
                  <w:sz w:val="20"/>
                </w:rPr>
                <w:t>CONSOLIDATED STATEMENTS OF OPERATIONS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5">
              <w:r>
                <w:rPr>
                  <w:rStyle w:val="InternetLink"/>
                  <w:rFonts w:ascii="Times New Roman" w:hAnsi="Times New Roman"/>
                  <w:sz w:val="20"/>
                </w:rPr>
                <w:t>CONSOLIDATED STATEMENTS OF PREFERRED STOCK AND STOCKHOLDERS EQUITY</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6">
              <w:r>
                <w:rPr>
                  <w:rStyle w:val="InternetLink"/>
                  <w:rFonts w:ascii="Times New Roman" w:hAnsi="Times New Roman"/>
                  <w:sz w:val="20"/>
                </w:rPr>
                <w:t>CONSOLIDATED STATEMENTS OF CASH FLOWS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7">
              <w:r>
                <w:rPr>
                  <w:rStyle w:val="InternetLink"/>
                  <w:rFonts w:ascii="Times New Roman" w:hAnsi="Times New Roman"/>
                  <w:sz w:val="20"/>
                </w:rPr>
                <w:t>NOTES TO CONSOLIDATED FINANCIAL STATEMENTS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8">
              <w:r>
                <w:rPr>
                  <w:rStyle w:val="InternetLink"/>
                  <w:rFonts w:ascii="Times New Roman" w:hAnsi="Times New Roman"/>
                  <w:sz w:val="20"/>
                </w:rPr>
                <w:t>Item 9. Changes in and Disagreements with Accountants on Accounting and Financial Disclosure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19">
              <w:r>
                <w:rPr>
                  <w:rStyle w:val="InternetLink"/>
                  <w:rFonts w:ascii="Times New Roman" w:hAnsi="Times New Roman"/>
                  <w:sz w:val="20"/>
                </w:rPr>
                <w:t>Item 9A. Controls and Procedures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20">
              <w:r>
                <w:rPr>
                  <w:rStyle w:val="InternetLink"/>
                  <w:rFonts w:ascii="Times New Roman" w:hAnsi="Times New Roman"/>
                  <w:sz w:val="20"/>
                </w:rPr>
                <w:t>Item 9B. Other Information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2" w:type="dxa"/>
            <w:tcBorders/>
            <w:shd w:fill="auto" w:val="clear"/>
            <w:vAlign w:val="bottom"/>
          </w:tcPr>
          <w:p>
            <w:pPr>
              <w:pStyle w:val="TableContents"/>
              <w:spacing w:before="0" w:after="283"/>
              <w:rPr/>
            </w:pPr>
            <w:r>
              <w:rPr/>
              <w:t>  </w:t>
            </w:r>
          </w:p>
        </w:tc>
      </w:tr>
      <w:tr>
        <w:trPr>
          <w:trHeight w:val="120" w:hRule="atLeast"/>
        </w:trPr>
        <w:tc>
          <w:tcPr>
            <w:tcW w:w="9535" w:type="dxa"/>
            <w:tcBorders/>
            <w:shd w:fill="auto" w:val="clear"/>
            <w:vAlign w:val="center"/>
          </w:tcPr>
          <w:p>
            <w:pPr>
              <w:pStyle w:val="TableContents"/>
              <w:spacing w:before="0" w:after="283"/>
              <w:rPr>
                <w:sz w:val="4"/>
                <w:szCs w:val="4"/>
              </w:rPr>
            </w:pPr>
            <w:r>
              <w:rPr>
                <w:sz w:val="4"/>
                <w:szCs w:val="4"/>
              </w:rPr>
            </w:r>
          </w:p>
        </w:tc>
        <w:tc>
          <w:tcPr>
            <w:tcW w:w="670" w:type="dxa"/>
            <w:gridSpan w:val="4"/>
            <w:tcBorders/>
            <w:shd w:fill="auto" w:val="clear"/>
            <w:vAlign w:val="center"/>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rFonts w:ascii="Times New Roman" w:hAnsi="Times New Roman"/>
                <w:sz w:val="20"/>
              </w:rPr>
            </w:pPr>
            <w:r>
              <w:rPr>
                <w:rFonts w:ascii="Times New Roman" w:hAnsi="Times New Roman"/>
                <w:sz w:val="20"/>
              </w:rPr>
              <w:t>PART III</w:t>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pPr>
            <w:hyperlink w:anchor="tx280818_21">
              <w:r>
                <w:rPr>
                  <w:rStyle w:val="InternetLink"/>
                  <w:rFonts w:ascii="Times New Roman" w:hAnsi="Times New Roman"/>
                  <w:sz w:val="20"/>
                </w:rPr>
                <w:t>Item 10. Directors, Executive Officers and Corporate Governance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22">
              <w:r>
                <w:rPr>
                  <w:rStyle w:val="InternetLink"/>
                  <w:rFonts w:ascii="Times New Roman" w:hAnsi="Times New Roman"/>
                  <w:sz w:val="20"/>
                </w:rPr>
                <w:t>Item 11. Executive Compensation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23">
              <w:r>
                <w:rPr>
                  <w:rStyle w:val="InternetLink"/>
                  <w:rFonts w:ascii="Times New Roman" w:hAnsi="Times New Roman"/>
                  <w:sz w:val="20"/>
                </w:rPr>
                <w:t>Item  12. Security Ownership of Certain Beneficial Owners and Management and Related Stockholder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24">
              <w:r>
                <w:rPr>
                  <w:rStyle w:val="InternetLink"/>
                  <w:rFonts w:ascii="Times New Roman" w:hAnsi="Times New Roman"/>
                  <w:sz w:val="20"/>
                </w:rPr>
                <w:t>Item 13. Certain Relationships and Related Transactions, and Director Independence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2" w:type="dxa"/>
            <w:tcBorders/>
            <w:shd w:fill="auto" w:val="clear"/>
            <w:vAlign w:val="bottom"/>
          </w:tcPr>
          <w:p>
            <w:pPr>
              <w:pStyle w:val="TableContents"/>
              <w:spacing w:before="0" w:after="283"/>
              <w:rPr/>
            </w:pPr>
            <w:r>
              <w:rPr/>
              <w:t>  </w:t>
            </w:r>
          </w:p>
        </w:tc>
      </w:tr>
      <w:tr>
        <w:trPr/>
        <w:tc>
          <w:tcPr>
            <w:tcW w:w="9535" w:type="dxa"/>
            <w:tcBorders/>
            <w:shd w:fill="auto" w:val="clear"/>
          </w:tcPr>
          <w:p>
            <w:pPr>
              <w:pStyle w:val="TableContents"/>
              <w:spacing w:before="0" w:after="283"/>
              <w:rPr/>
            </w:pPr>
            <w:hyperlink w:anchor="tx280818_25">
              <w:r>
                <w:rPr>
                  <w:rStyle w:val="InternetLink"/>
                  <w:rFonts w:ascii="Times New Roman" w:hAnsi="Times New Roman"/>
                  <w:sz w:val="20"/>
                </w:rPr>
                <w:t>Item 14. Principal Accountant Fees and Services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2" w:type="dxa"/>
            <w:tcBorders/>
            <w:shd w:fill="auto" w:val="clear"/>
            <w:vAlign w:val="bottom"/>
          </w:tcPr>
          <w:p>
            <w:pPr>
              <w:pStyle w:val="TableContents"/>
              <w:spacing w:before="0" w:after="283"/>
              <w:rPr/>
            </w:pPr>
            <w:r>
              <w:rPr/>
              <w:t>  </w:t>
            </w:r>
          </w:p>
        </w:tc>
      </w:tr>
      <w:tr>
        <w:trPr>
          <w:trHeight w:val="120" w:hRule="atLeast"/>
        </w:trPr>
        <w:tc>
          <w:tcPr>
            <w:tcW w:w="9535" w:type="dxa"/>
            <w:tcBorders/>
            <w:shd w:fill="auto" w:val="clear"/>
            <w:vAlign w:val="center"/>
          </w:tcPr>
          <w:p>
            <w:pPr>
              <w:pStyle w:val="TableContents"/>
              <w:spacing w:before="0" w:after="283"/>
              <w:rPr>
                <w:sz w:val="4"/>
                <w:szCs w:val="4"/>
              </w:rPr>
            </w:pPr>
            <w:r>
              <w:rPr>
                <w:sz w:val="4"/>
                <w:szCs w:val="4"/>
              </w:rPr>
            </w:r>
          </w:p>
        </w:tc>
        <w:tc>
          <w:tcPr>
            <w:tcW w:w="670" w:type="dxa"/>
            <w:gridSpan w:val="4"/>
            <w:tcBorders/>
            <w:shd w:fill="auto" w:val="clear"/>
            <w:vAlign w:val="center"/>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rFonts w:ascii="Times New Roman" w:hAnsi="Times New Roman"/>
                <w:sz w:val="20"/>
              </w:rPr>
            </w:pPr>
            <w:r>
              <w:rPr>
                <w:rFonts w:ascii="Times New Roman" w:hAnsi="Times New Roman"/>
                <w:sz w:val="20"/>
              </w:rPr>
              <w:t>PART IV</w:t>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pPr>
            <w:hyperlink w:anchor="tx280818_26">
              <w:r>
                <w:rPr>
                  <w:rStyle w:val="InternetLink"/>
                  <w:rFonts w:ascii="Times New Roman" w:hAnsi="Times New Roman"/>
                  <w:sz w:val="20"/>
                </w:rPr>
                <w:t>Item 15. Exhibits and Financial Statement Schedules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2" w:type="dxa"/>
            <w:tcBorders/>
            <w:shd w:fill="auto" w:val="clear"/>
            <w:vAlign w:val="bottom"/>
          </w:tcPr>
          <w:p>
            <w:pPr>
              <w:pStyle w:val="TableContents"/>
              <w:spacing w:before="0" w:after="283"/>
              <w:rPr/>
            </w:pPr>
            <w:r>
              <w:rPr/>
              <w:t>  </w:t>
            </w:r>
          </w:p>
        </w:tc>
      </w:tr>
      <w:tr>
        <w:trPr>
          <w:trHeight w:val="120" w:hRule="atLeast"/>
        </w:trPr>
        <w:tc>
          <w:tcPr>
            <w:tcW w:w="9535" w:type="dxa"/>
            <w:tcBorders/>
            <w:shd w:fill="auto" w:val="clear"/>
            <w:vAlign w:val="center"/>
          </w:tcPr>
          <w:p>
            <w:pPr>
              <w:pStyle w:val="TableContents"/>
              <w:spacing w:before="0" w:after="283"/>
              <w:rPr>
                <w:sz w:val="4"/>
                <w:szCs w:val="4"/>
              </w:rPr>
            </w:pPr>
            <w:r>
              <w:rPr>
                <w:sz w:val="4"/>
                <w:szCs w:val="4"/>
              </w:rPr>
            </w:r>
          </w:p>
        </w:tc>
        <w:tc>
          <w:tcPr>
            <w:tcW w:w="670" w:type="dxa"/>
            <w:gridSpan w:val="4"/>
            <w:tcBorders/>
            <w:shd w:fill="auto" w:val="clear"/>
            <w:vAlign w:val="center"/>
          </w:tcPr>
          <w:p>
            <w:pPr>
              <w:pStyle w:val="TableContents"/>
              <w:spacing w:before="0" w:after="283"/>
              <w:rPr>
                <w:sz w:val="4"/>
                <w:szCs w:val="4"/>
              </w:rPr>
            </w:pPr>
            <w:r>
              <w:rPr>
                <w:sz w:val="4"/>
                <w:szCs w:val="4"/>
              </w:rPr>
            </w:r>
          </w:p>
        </w:tc>
      </w:tr>
      <w:tr>
        <w:trPr/>
        <w:tc>
          <w:tcPr>
            <w:tcW w:w="9535" w:type="dxa"/>
            <w:tcBorders/>
            <w:shd w:fill="auto" w:val="clear"/>
          </w:tcPr>
          <w:p>
            <w:pPr>
              <w:pStyle w:val="TableContents"/>
              <w:spacing w:before="0" w:after="283"/>
              <w:rPr/>
            </w:pPr>
            <w:hyperlink w:anchor="tx280818_27">
              <w:r>
                <w:rPr>
                  <w:rStyle w:val="InternetLink"/>
                  <w:rFonts w:ascii="Times New Roman" w:hAnsi="Times New Roman"/>
                  <w:sz w:val="20"/>
                </w:rPr>
                <w:t>SIGNATURES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 w:name="tx280818_1"/>
            <w:bookmarkEnd w:id="3"/>
            <w:r>
              <w:rPr>
                <w:rFonts w:ascii="Times New Roman" w:hAnsi="Times New Roman"/>
                <w:b/>
                <w:sz w:val="20"/>
              </w:rPr>
              <w:t>Item 1.</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Business</w:t>
            </w:r>
            <w:r>
              <w:rPr>
                <w:rFonts w:ascii="Times New Roman" w:hAnsi="Times New Roman"/>
                <w:sz w:val="20"/>
              </w:rPr>
              <w:t xml:space="preserve"> </w:t>
            </w:r>
          </w:p>
        </w:tc>
      </w:tr>
    </w:tbl>
    <w:p>
      <w:pPr>
        <w:pStyle w:val="TextBody"/>
        <w:spacing w:before="90" w:after="0"/>
        <w:rPr>
          <w:rFonts w:ascii="Times New Roman" w:hAnsi="Times New Roman"/>
          <w:i/>
          <w:sz w:val="20"/>
        </w:rPr>
      </w:pPr>
      <w:r>
        <w:rPr>
          <w:rFonts w:ascii="Times New Roman" w:hAnsi="Times New Roman"/>
          <w:i/>
          <w:sz w:val="20"/>
        </w:rPr>
        <w:t xml:space="preserve">Some of the statements under Business, Risk Factors, Managements Discussion and Analysis of Financial Condition and Results of Operations and elsewhere in this Annual Report constitute forward-looking statements.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Examples of these statements include, but are not limited to, statements regarding the following: the timing and results of any clinical trials, including the planned Gencaro trial for the prevention of atrial fibrillation our ability to obtain additional funding or enter into a strategic or other transaction, the extent to which our issued and pending patents may protect our products and technology, the potential of such product candidates to lead to the development of safe or effective therapies, our ability to enter into collaborations, our ability to maintain listing of our common stock on a national exchange, our future operating expenses, our future losses, our future expenditures, and the sufficiency of our cash resources to maintain operations. These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w:t>
      </w:r>
    </w:p>
    <w:p>
      <w:pPr>
        <w:pStyle w:val="TextBody"/>
        <w:spacing w:before="180" w:after="0"/>
        <w:rPr>
          <w:rFonts w:ascii="Times New Roman" w:hAnsi="Times New Roman"/>
          <w:i/>
          <w:sz w:val="20"/>
        </w:rPr>
      </w:pPr>
      <w:r>
        <w:rPr>
          <w:rFonts w:ascii="Times New Roman" w:hAnsi="Times New Roman"/>
          <w:i/>
          <w:sz w:val="20"/>
        </w:rPr>
        <w:t xml:space="preserve">In addition, you should refer to the Risk Factors 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t>
      </w:r>
    </w:p>
    <w:p>
      <w:pPr>
        <w:pStyle w:val="TextBody"/>
        <w:spacing w:before="180" w:after="0"/>
        <w:rPr>
          <w:rFonts w:ascii="Times New Roman" w:hAnsi="Times New Roman"/>
          <w:i/>
          <w:sz w:val="20"/>
        </w:rPr>
      </w:pPr>
      <w:r>
        <w:rPr>
          <w:rFonts w:ascii="Times New Roman" w:hAnsi="Times New Roman"/>
          <w:i/>
          <w:sz w:val="20"/>
        </w:rPr>
        <w:t xml:space="preserve">We undertake no obligation to publicly update any forward-looking statements, whether as a result of new information, future events or otherwise. You are advised, however, to consult any further disclosures we make on related subjects in our Quarterly Reports on Form 10-Q, Current Reports on Form 8-K, and our website. </w:t>
      </w:r>
    </w:p>
    <w:p>
      <w:pPr>
        <w:pStyle w:val="TextBody"/>
        <w:spacing w:before="180" w:after="0"/>
        <w:rPr>
          <w:rFonts w:ascii="Times New Roman" w:hAnsi="Times New Roman"/>
          <w:sz w:val="20"/>
        </w:rPr>
      </w:pPr>
      <w:r>
        <w:rPr>
          <w:rFonts w:ascii="Times New Roman" w:hAnsi="Times New Roman"/>
          <w:sz w:val="20"/>
        </w:rPr>
        <w:t xml:space="preserve">The terms ARCA, the Company, we, us, our and similar terms refer to ARCA biopharma, Inc. </w:t>
      </w:r>
    </w:p>
    <w:p>
      <w:pPr>
        <w:pStyle w:val="TextBody"/>
        <w:spacing w:before="270" w:after="0"/>
        <w:rPr>
          <w:rFonts w:ascii="Times New Roman" w:hAnsi="Times New Roman"/>
          <w:b/>
          <w:i/>
          <w:sz w:val="20"/>
        </w:rPr>
      </w:pPr>
      <w:r>
        <w:rPr>
          <w:rFonts w:ascii="Times New Roman" w:hAnsi="Times New Roman"/>
          <w:b/>
          <w:i/>
          <w:sz w:val="20"/>
        </w:rPr>
        <w:t xml:space="preserve">Overview </w:t>
      </w:r>
    </w:p>
    <w:p>
      <w:pPr>
        <w:pStyle w:val="TextBody"/>
        <w:pBdr/>
        <w:spacing w:before="90" w:after="0"/>
        <w:rPr/>
      </w:pPr>
      <w:r>
        <w:rPr>
          <w:rFonts w:ascii="Times New Roman" w:hAnsi="Times New Roman"/>
          <w:sz w:val="20"/>
        </w:rPr>
        <w:t>We are a biopharmaceutical company whose principal focus is developing genetically-targeted therapies for cardiovascular diseases. Our lead product candidate, Gencaro</w:t>
      </w:r>
      <w:r>
        <w:rPr/>
        <w:t xml:space="preserve"> </w:t>
      </w:r>
      <w:r>
        <w:rPr>
          <w:rFonts w:ascii="Times New Roman" w:hAnsi="Times New Roman"/>
          <w:sz w:val="14"/>
        </w:rPr>
        <w:t>TM</w:t>
      </w:r>
      <w:r>
        <w:rPr>
          <w:rFonts w:ascii="Times New Roman" w:hAnsi="Times New Roman"/>
          <w:sz w:val="20"/>
        </w:rPr>
        <w:t xml:space="preserve">(bucindolol hydrochloride), a pharmacologically unique beta-blocker and mild vasodilator, is being developed for the treatment of atrial fibrillation, or AF, in patients with heart failure, or HF. We have identified common genetic variations in the cardiovascular system that we believe interact with Gencaros pharmacology and may predict patient response to the drug. </w:t>
      </w:r>
    </w:p>
    <w:p>
      <w:pPr>
        <w:pStyle w:val="TextBody"/>
        <w:spacing w:before="180" w:after="0"/>
        <w:rPr>
          <w:rFonts w:ascii="Times New Roman" w:hAnsi="Times New Roman"/>
          <w:sz w:val="20"/>
        </w:rPr>
      </w:pPr>
      <w:r>
        <w:rPr>
          <w:rFonts w:ascii="Times New Roman" w:hAnsi="Times New Roman"/>
          <w:sz w:val="20"/>
        </w:rPr>
        <w:t xml:space="preserve">We have been granted patents in the U.S., Europe, and other jurisdictions for methods of treating AF and HF patients with Gencaro based on genetic testing, which we believe will provide market exclusivity for these uses of Gencaro into at least 2026 in the U.S. and into 2025 in Europe. In addition, we believe that if Gencaro is approved, the Gencaro patents will be eligible for patent term extension based on our current clinical trial plans which, if granted in the U.S., may provide market exclusivity into 2029, and if granted in Europe may provide market exclusivity into 2030. </w:t>
      </w:r>
    </w:p>
    <w:p>
      <w:pPr>
        <w:pStyle w:val="TextBody"/>
        <w:spacing w:before="180" w:after="0"/>
        <w:rPr>
          <w:rFonts w:ascii="Times New Roman" w:hAnsi="Times New Roman"/>
          <w:sz w:val="20"/>
        </w:rPr>
      </w:pPr>
      <w:r>
        <w:rPr>
          <w:rFonts w:ascii="Times New Roman" w:hAnsi="Times New Roman"/>
          <w:sz w:val="20"/>
        </w:rPr>
        <w:t xml:space="preserve">We are planning to initiate a Phase 3 clinical study of Gencaro in AF patients with HF and/or left ventricular dysfunction. We believe AF is an attractive potential indication for Gencaro because data from the previously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conducted Phase 3 HF trial of Gencaro in 2,708 HF patients, or the BEST HF trial, suggest that Gencaro may have a potentially significant effect in reducing or preventing AF. Based on our analysis of data from the BEST HF trial, we believe that Gencaros prevention of AF in HF patients is pharmacogenetically regulated. We plan to enroll approximately 200-400 patients with persistent AF who have the genotype that appears to respond most favorably to Gencaro. We anticipate that this trial could begin approximately 6 months after we obtain sufficient funding. </w:t>
      </w:r>
    </w:p>
    <w:p>
      <w:pPr>
        <w:pStyle w:val="TextBody"/>
        <w:spacing w:before="180" w:after="0"/>
        <w:rPr>
          <w:rFonts w:ascii="Times New Roman" w:hAnsi="Times New Roman"/>
          <w:sz w:val="20"/>
        </w:rPr>
      </w:pPr>
      <w:r>
        <w:rPr>
          <w:rFonts w:ascii="Times New Roman" w:hAnsi="Times New Roman"/>
          <w:sz w:val="20"/>
        </w:rPr>
        <w:t xml:space="preserve">AF is a disorder in which the normally regular and coordinated contraction pattern of the hearts two small upper chambers (the atria) becomes irregular and uncoordinated. The irregular contraction pattern associated with AF causes blood to pool in the atria, predisposing the formation of clots. These clots may travel from the heart and become lodged in the arteries leading to the brain and other organs, thereby blocking necessary blood flow and potentially resulting in stroke. AF is considered an epidemic cardiovascular disease that affects approximately 2-3 million Americans, making it one of the most common heart rhythm disorders. The approved therapies for the treatment or prevention AF have certain disadvantages, such as toxic side effects. We believe there is an unmet medical need for new AF treatments that have fewer side effects than currently available therapies and are more effective, particularly in patients with HF where most of the approved drugs are contra-indicated or have warnings in their prescribing information. </w:t>
      </w:r>
    </w:p>
    <w:p>
      <w:pPr>
        <w:pStyle w:val="TextBody"/>
        <w:spacing w:before="180" w:after="0"/>
        <w:rPr>
          <w:rFonts w:ascii="Times New Roman" w:hAnsi="Times New Roman"/>
          <w:sz w:val="20"/>
        </w:rPr>
      </w:pPr>
      <w:r>
        <w:rPr>
          <w:rFonts w:ascii="Times New Roman" w:hAnsi="Times New Roman"/>
          <w:sz w:val="20"/>
        </w:rPr>
        <w:t xml:space="preserve">The planned AF clinical trial is designed to be a multi-center, randomized, double-blind clinical trial to assess the safety and efficacy of Gencaro in AF patients with HF and/or left ventricular dysfunction, with the primary endpoint being time to recurrent symptomatic AF after direct current cardioversion. This AF trial is designed to compare Gencaro to the beta-blocker metoprolol CR/XL in the patient genotype we believe responds most favorably to Gencaro. The therapeutic benefit of metoprolol CR/XL does not appear to be enhanced in patients with this genotype. We believe data from the BEST HF trial indicate that Gencaro may have a potentially significant effect in reducing or preventing AF, and this effect may be one that is genetically regulated. The entire cohort of patients in the BEST HF trial that were treated with Gencaro had a 41% reduction in the risk of new onset AF (time-to-event) compared to placebo (p = 0.0004), although because there was not a predetermined AF clinical endpoint in the BEST HF trial, the data is based on subsequent analysis of adverse events and surveillance electrocardiograms (ECGs). In the DNA sub-study, patients with the most favorable genotype for Gencaro experienced a 74% (p = 0.0003) reduction in risk of AF, based on the same analysis. This most favorable genotype was present in about 47% of the patients in the sub-study, and we estimate it is present in about 50% of the US general population. We believe the AF study would take approximately two and one half years from enrollment of the first patient through completion. </w:t>
      </w:r>
    </w:p>
    <w:p>
      <w:pPr>
        <w:pStyle w:val="TextBody"/>
        <w:spacing w:before="180" w:after="0"/>
        <w:rPr>
          <w:rFonts w:ascii="Times New Roman" w:hAnsi="Times New Roman"/>
          <w:sz w:val="20"/>
        </w:rPr>
      </w:pPr>
      <w:r>
        <w:rPr>
          <w:rFonts w:ascii="Times New Roman" w:hAnsi="Times New Roman"/>
          <w:sz w:val="20"/>
        </w:rPr>
        <w:t xml:space="preserve">We have exclusive patent rights to other product candidates that have potential indications in cardiovascular disease, oncology and other therapeutic areas, some of which are in early stages of development and others of which are in later stages of development. We are seeking development partners to assist us in the development of these product candidates or who may license rights to them. For example, we hold exclusive rights to rNAPc2, a recombinant protein that is a potent, long acting tissue factor inhibitor with a unique mechanism of action. Previously, preclinical studies of rNAPc2 showed evidence of potential efficacy against lethal hemorrhagic fever viruses. </w:t>
      </w:r>
    </w:p>
    <w:p>
      <w:pPr>
        <w:pStyle w:val="TextBody"/>
        <w:spacing w:before="180" w:after="0"/>
        <w:rPr>
          <w:rFonts w:ascii="Times New Roman" w:hAnsi="Times New Roman"/>
          <w:sz w:val="20"/>
        </w:rPr>
      </w:pPr>
      <w:r>
        <w:rPr>
          <w:rFonts w:ascii="Times New Roman" w:hAnsi="Times New Roman"/>
          <w:sz w:val="20"/>
        </w:rPr>
        <w:t xml:space="preserve">To support the continued development of Gencaro, including the planned AF clinical trial and our ongoing operations, we will need to raise substantial additional funding through public or private debt or equity transactions or a strategic combination or partnership, or government funding. We may seek additional funding that could allow us to operate while we continue to pursue strategic combination, partnering, additional financing and licensing opportunities. If we are delayed in obtaining funding or are unable to complete a strategic transaction, we may discontinue our development activities on Gencaro or discontinue our operations. We believe our cash and cash equivalents balance as of December 31, 2011 will be sufficient to fund our operations, at our current cost structure, through September 2012. We are unable to assert that our current cash and cash equivalents are sufficient to fund operations beyond that date, and as a result, there is substantial doubt about our ability to continue as a going concern beyond September 2012. Changing circumstances may cause us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consume capital significantly faster or slower than we currently anticipate. We have based these estimates on assumptions that may prove to be wrong, and we could exhaust our available financial resources sooner than we currently anticipate. </w:t>
      </w:r>
    </w:p>
    <w:p>
      <w:pPr>
        <w:pStyle w:val="TextBody"/>
        <w:spacing w:before="180" w:after="0"/>
        <w:rPr>
          <w:rFonts w:ascii="Times New Roman" w:hAnsi="Times New Roman"/>
          <w:sz w:val="20"/>
        </w:rPr>
      </w:pPr>
      <w:r>
        <w:rPr>
          <w:rFonts w:ascii="Times New Roman" w:hAnsi="Times New Roman"/>
          <w:sz w:val="20"/>
        </w:rPr>
        <w:t xml:space="preserve">On January 27, 2009, we completed a business combination (the Merger) with ARCA Colorado in accordance with the terms of that Agreement and Plan of Merger and Reorganization, dated September 24, 2008, and amended on October 28, 2008 (as amended, the Merger Agreement), in which a wholly-owned subsidiary of Nuvelo, Inc. merged with and into ARCA Colorado, with ARCA Colorado continuing after the Merger as the surviving corporation and a wholly-owned subsidiary of Nuvelo, Inc. Immediately following the Merger, we changed our name from Nuvelo, Inc. to ARCA biopharma, Inc., and our common stock began trading on the Nasdaq Global Market under the symbol ABIO on January 28, 2009. On March 7, 2011, the listing of our common stock was transferred from the Nasdaq Global Market to the Nasdaq Capital Market. </w:t>
      </w:r>
    </w:p>
    <w:p>
      <w:pPr>
        <w:pStyle w:val="TextBody"/>
        <w:spacing w:before="270" w:after="0"/>
        <w:rPr>
          <w:rFonts w:ascii="Times New Roman" w:hAnsi="Times New Roman"/>
          <w:b/>
          <w:i/>
          <w:sz w:val="20"/>
        </w:rPr>
      </w:pPr>
      <w:r>
        <w:rPr>
          <w:rFonts w:ascii="Times New Roman" w:hAnsi="Times New Roman"/>
          <w:b/>
          <w:i/>
          <w:sz w:val="20"/>
        </w:rPr>
        <w:t xml:space="preserve">Our Strategy </w:t>
      </w:r>
    </w:p>
    <w:p>
      <w:pPr>
        <w:pStyle w:val="TextBody"/>
        <w:spacing w:before="90" w:after="0"/>
        <w:rPr>
          <w:rFonts w:ascii="Times New Roman" w:hAnsi="Times New Roman"/>
          <w:sz w:val="20"/>
        </w:rPr>
      </w:pPr>
      <w:r>
        <w:rPr>
          <w:rFonts w:ascii="Times New Roman" w:hAnsi="Times New Roman"/>
          <w:sz w:val="20"/>
        </w:rPr>
        <w:t xml:space="preserve">Our mission is to become a leading biopharmaceutical company developing cardiovascular therapies with an emphasis on genetically-targeted therapies. To achieve this goal, we are pursuing the following strategies: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Advance the development of Gencaro. </w:t>
            </w:r>
            <w:r>
              <w:rPr>
                <w:rFonts w:ascii="Times New Roman" w:hAnsi="Times New Roman"/>
                <w:sz w:val="20"/>
              </w:rPr>
              <w:t xml:space="preserve">We are planning to initiate a clinical study of Gencaro in AF patients with HF and/or left ventricular dysfunction. Based on our analysis of data from the BEST HF trial we believe that Gencaros prevention of AF in HF patients is genetically regulated. We plan to enroll approximately 200-400 patients with persistent AF who have the genotype that appears to respond most favorably to Gencaro. We anticipate that the trial could begin approximately 6 months after we obtain sufficient funding.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Raise substantial additional funding or complete a strategic transaction. </w:t>
            </w:r>
            <w:r>
              <w:rPr>
                <w:rFonts w:ascii="Times New Roman" w:hAnsi="Times New Roman"/>
                <w:sz w:val="20"/>
              </w:rPr>
              <w:t xml:space="preserve">To support the continued clinical development of Gencaro, including the planned AF clinical trial, we are seeking to raise substantial additional funding, through the sale of public or private debt or equity securities, government funding, or the completion of a strategic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Leverage our existing assets</w:t>
            </w:r>
            <w:r>
              <w:rPr>
                <w:rFonts w:ascii="Times New Roman" w:hAnsi="Times New Roman"/>
                <w:sz w:val="20"/>
              </w:rPr>
              <w:t xml:space="preserve">. We are pursuing opportunities to leverage certain of our development-stage product candidates. We are also pursuing licensing transactions for certain of our other compounds which are in early stages of development for various indications. For example, in 2011, we raised $2 million through the assignment of certain patent rights for one of these compounds to a large pharmaceutical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Build a cardiovascular pipeline.</w:t>
            </w:r>
            <w:r>
              <w:rPr>
                <w:rFonts w:ascii="Times New Roman" w:hAnsi="Times New Roman"/>
                <w:sz w:val="20"/>
              </w:rPr>
              <w:t xml:space="preserve"> Our management and employees, including our chief executive officer, have extensive experience in cardiovascular research, molecular genetics and clinical development of cardiovascular therapies. We are seeking to leverage this expertise to identify, acquire and develop other cardiovascular products or candidates, with an emphasis on pharmacogenetic applications. </w:t>
            </w:r>
          </w:p>
        </w:tc>
      </w:tr>
    </w:tbl>
    <w:p>
      <w:pPr>
        <w:pStyle w:val="TextBody"/>
        <w:spacing w:before="270" w:after="0"/>
        <w:rPr>
          <w:rFonts w:ascii="Times New Roman" w:hAnsi="Times New Roman"/>
          <w:b/>
          <w:i/>
          <w:sz w:val="20"/>
        </w:rPr>
      </w:pPr>
      <w:r>
        <w:rPr>
          <w:rFonts w:ascii="Times New Roman" w:hAnsi="Times New Roman"/>
          <w:b/>
          <w:i/>
          <w:sz w:val="20"/>
        </w:rPr>
        <w:t xml:space="preserve">Atrial Fibrillation Market Background and Opportunity </w:t>
      </w:r>
    </w:p>
    <w:p>
      <w:pPr>
        <w:pStyle w:val="TextBody"/>
        <w:spacing w:before="90" w:after="0"/>
        <w:rPr>
          <w:rFonts w:ascii="Times New Roman" w:hAnsi="Times New Roman"/>
          <w:sz w:val="20"/>
        </w:rPr>
      </w:pPr>
      <w:r>
        <w:rPr>
          <w:rFonts w:ascii="Times New Roman" w:hAnsi="Times New Roman"/>
          <w:sz w:val="20"/>
        </w:rPr>
        <w:t xml:space="preserve">AF is a disorder in which the normally regular and coordinated contraction pattern of the hearts two small upper chambers becomes irregular and uncoordinated. The irregular contraction pattern associated with AF causes blood to pool in the atria, predisposing the formation of clots. These clots may travel from the heart and become lodged in the arteries leading to the brain and other organs, thereby blocking necessary blood flow and potentially resulting in stroke. AF is considered an epidemic cardiovascular disease based on the pace of increase in incidence in the U.S. and industrialized countries. Approximately 2-3 million people in the U.S. have AF with one report estimating 160,000 new cases developing each year. Approximately 300,000-400,000 treated AF patients currently receive a form of beta-blocker as pharmaceutical intervention. </w:t>
      </w:r>
    </w:p>
    <w:p>
      <w:pPr>
        <w:pStyle w:val="TextBody"/>
        <w:spacing w:before="180" w:after="0"/>
        <w:rPr>
          <w:rFonts w:ascii="Times New Roman" w:hAnsi="Times New Roman"/>
          <w:sz w:val="20"/>
        </w:rPr>
      </w:pPr>
      <w:r>
        <w:rPr>
          <w:rFonts w:ascii="Times New Roman" w:hAnsi="Times New Roman"/>
          <w:sz w:val="20"/>
        </w:rPr>
        <w:t xml:space="preserve">The goals of current medical therapy for AF are to maintain heart rhythm, also referred to as sinus rhythm, avoid the risk of complications and minimize patient symptoms. Current treatments include pharmaceutical intervention and device intervention.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There are several antiarrhythmic drugs approved by the FDA for the treatment and/or prevention of recurrent AF. However, these drugs all have safety and/or administration concerns including contraindications, and all but one have contraindications or label warnings regarding their prescription in patients with HF. </w:t>
      </w:r>
    </w:p>
    <w:p>
      <w:pPr>
        <w:pStyle w:val="TextBody"/>
        <w:spacing w:before="180" w:after="0"/>
        <w:rPr>
          <w:rFonts w:ascii="Times New Roman" w:hAnsi="Times New Roman"/>
          <w:sz w:val="20"/>
        </w:rPr>
      </w:pPr>
      <w:r>
        <w:rPr>
          <w:rFonts w:ascii="Times New Roman" w:hAnsi="Times New Roman"/>
          <w:sz w:val="20"/>
        </w:rPr>
        <w:t xml:space="preserve">Current device interventions for the treatment of AF include: </w:t>
      </w:r>
    </w:p>
    <w:p>
      <w:pPr>
        <w:pStyle w:val="TextBody"/>
        <w:spacing w:before="90" w:after="0"/>
        <w:rPr>
          <w:rFonts w:ascii="Times New Roman" w:hAnsi="Times New Roman"/>
          <w:sz w:val="20"/>
        </w:rPr>
      </w:pPr>
      <w:r>
        <w:rPr>
          <w:rFonts w:ascii="Times New Roman" w:hAnsi="Times New Roman"/>
          <w:sz w:val="20"/>
        </w:rPr>
        <w:t xml:space="preserve">Electrical cardioversion which is used to restore normal heart rhythm with administration of a direct current shock; </w:t>
      </w:r>
    </w:p>
    <w:p>
      <w:pPr>
        <w:pStyle w:val="TextBody"/>
        <w:spacing w:before="90" w:after="0"/>
        <w:rPr>
          <w:rFonts w:ascii="Times New Roman" w:hAnsi="Times New Roman"/>
          <w:sz w:val="20"/>
        </w:rPr>
      </w:pPr>
      <w:r>
        <w:rPr>
          <w:rFonts w:ascii="Times New Roman" w:hAnsi="Times New Roman"/>
          <w:sz w:val="20"/>
        </w:rPr>
        <w:t xml:space="preserve">Radiofrequency catheter ablation which can be effective in patients for whom medications are ineffective; and, </w:t>
      </w:r>
    </w:p>
    <w:p>
      <w:pPr>
        <w:pStyle w:val="TextBody"/>
        <w:spacing w:before="90" w:after="0"/>
        <w:rPr>
          <w:rFonts w:ascii="Times New Roman" w:hAnsi="Times New Roman"/>
          <w:sz w:val="20"/>
        </w:rPr>
      </w:pPr>
      <w:r>
        <w:rPr>
          <w:rFonts w:ascii="Times New Roman" w:hAnsi="Times New Roman"/>
          <w:sz w:val="20"/>
        </w:rPr>
        <w:t xml:space="preserve">Atrial pacemakers which are implanted under the skin to regulate heart rhythm. </w:t>
      </w:r>
    </w:p>
    <w:p>
      <w:pPr>
        <w:pStyle w:val="TextBody"/>
        <w:spacing w:before="180" w:after="0"/>
        <w:rPr>
          <w:rFonts w:ascii="Times New Roman" w:hAnsi="Times New Roman"/>
          <w:sz w:val="20"/>
        </w:rPr>
      </w:pPr>
      <w:r>
        <w:rPr>
          <w:rFonts w:ascii="Times New Roman" w:hAnsi="Times New Roman"/>
          <w:sz w:val="20"/>
        </w:rPr>
        <w:t xml:space="preserve">We are not aware of any beta-blocker approved for the indication of AF prevention but we believe beta-blockers may have mild efficacy in the prevention of AF. In one reported analysis of data regarding placebo-controlled trials in HF beta-blockers were associated with a relative risk reduction in AF onset of 27% in patients with heart failure. We also believe that Gencaros prevention of AF in HF patients would provide this patient population a safer treatment option than other treatments currently approved by the FDA. </w:t>
      </w:r>
    </w:p>
    <w:p>
      <w:pPr>
        <w:pStyle w:val="TextBody"/>
        <w:spacing w:before="270" w:after="0"/>
        <w:rPr>
          <w:rFonts w:ascii="Times New Roman" w:hAnsi="Times New Roman"/>
          <w:b/>
          <w:i/>
          <w:sz w:val="20"/>
        </w:rPr>
      </w:pPr>
      <w:r>
        <w:rPr>
          <w:rFonts w:ascii="Times New Roman" w:hAnsi="Times New Roman"/>
          <w:b/>
          <w:i/>
          <w:sz w:val="20"/>
        </w:rPr>
        <w:t xml:space="preserve">Gencaro </w:t>
      </w:r>
    </w:p>
    <w:p>
      <w:pPr>
        <w:pStyle w:val="TextBody"/>
        <w:pBdr/>
        <w:spacing w:before="90" w:after="0"/>
        <w:rPr/>
      </w:pPr>
      <w:r>
        <w:rPr>
          <w:rFonts w:ascii="Times New Roman" w:hAnsi="Times New Roman"/>
          <w:sz w:val="20"/>
        </w:rPr>
        <w:t>Gencaro (bucindolol hydrochloride) is a pharmacologically unique beta-blocker and mild vasodilator being developed for the treatment of AF. Gencaro is considered part of the beta-blocker class of compounds because of its property of blocking both beta-1, or ß</w:t>
      </w:r>
      <w:r>
        <w:rPr>
          <w:rFonts w:ascii="Times New Roman" w:hAnsi="Times New Roman"/>
          <w:sz w:val="14"/>
        </w:rPr>
        <w:t>1</w:t>
      </w:r>
      <w:r>
        <w:rPr>
          <w:rFonts w:ascii="Times New Roman" w:hAnsi="Times New Roman"/>
          <w:sz w:val="20"/>
        </w:rPr>
        <w:t>, and beta-2, or ß</w:t>
      </w:r>
      <w:r>
        <w:rPr>
          <w:rFonts w:ascii="Times New Roman" w:hAnsi="Times New Roman"/>
          <w:sz w:val="14"/>
        </w:rPr>
        <w:t>2</w:t>
      </w:r>
      <w:r>
        <w:rPr>
          <w:rFonts w:ascii="Times New Roman" w:hAnsi="Times New Roman"/>
          <w:sz w:val="20"/>
        </w:rPr>
        <w:t xml:space="preserve">, receptors in the cardiac nervous system. The blocking of these receptors prevents binding with other molecules that serve to activate these receptors. We believe that Gencaro is well-tolerated in cardiovascular patients because of its mild vasodilator effects. Originally developed by Bristol-Myers Squibb, or BMS, the active pharmaceutical ingredient, or API, in Gencaro, bucindolol hydrochloride, has been tested clinically in approximately 4,500 patients. Gencaro was the subject of a Phase 3 HF mortality trial of over 2,700 patients, mostly in the U.S., known as the BEST HF trial. The BEST HF trial included a DNA bank of over 1,000 patients, which was used to evaluate the effect of genetic variation on patients response to Gencaro. </w:t>
      </w:r>
    </w:p>
    <w:p>
      <w:pPr>
        <w:pStyle w:val="TextBody"/>
        <w:pBdr/>
        <w:spacing w:before="180" w:after="0"/>
        <w:rPr/>
      </w:pPr>
      <w:r>
        <w:rPr>
          <w:rFonts w:ascii="Times New Roman" w:hAnsi="Times New Roman"/>
          <w:sz w:val="20"/>
        </w:rPr>
        <w:t>At the time of the BEST HF trial, our founding scientists, Dr. Michael Bristow and Dr. Stephen Liggett, hypothesized that the unique pharmacologic properties of Gencaro would interact with common genetic variations of ß</w:t>
      </w:r>
      <w:r>
        <w:rPr>
          <w:rFonts w:ascii="Times New Roman" w:hAnsi="Times New Roman"/>
          <w:sz w:val="14"/>
        </w:rPr>
        <w:t>1</w:t>
      </w:r>
      <w:r>
        <w:rPr>
          <w:rFonts w:ascii="Times New Roman" w:hAnsi="Times New Roman"/>
          <w:sz w:val="20"/>
        </w:rPr>
        <w:t xml:space="preserve">, and alpha2C, or </w:t>
      </w:r>
      <w:r>
        <w:rPr>
          <w:rFonts w:ascii="SYMBOL" w:hAnsi="SYMBOL"/>
          <w:sz w:val="20"/>
        </w:rPr>
        <w:t>a</w:t>
      </w:r>
      <w:r>
        <w:rPr>
          <w:rFonts w:ascii="Times New Roman" w:hAnsi="Times New Roman"/>
          <w:sz w:val="14"/>
        </w:rPr>
        <w:t>2C</w:t>
      </w:r>
      <w:r>
        <w:rPr>
          <w:rFonts w:ascii="Times New Roman" w:hAnsi="Times New Roman"/>
          <w:sz w:val="20"/>
        </w:rPr>
        <w:t xml:space="preserve">, receptors, which are important receptors that regulate cardiac or sympathetic nerve function. They tested this hypothesis prospectively in a sub-study conducted using data from the BEST DNA bank. On the basis of this study, Drs. Bristow and Liggett determined that patients with certain variations in these receptors had substantially improved outcomes on primary and certain secondary clinical endpoints in the trial, such as mortality, HF progression, hospitalization and AF prevention, relative to the general patient population of the BEST HF trial. We believe that these genetically determined receptor variations, which are detectable using standard genetic testing technology, can serve as diagnostic markers for predicting enhanced therapeutic response to Gencaro, and potentially avoiding adverse events, in individual patients. We have patented our methods for treating AF and HF patients with Gencaro in the U.S. and Europe based on genetic testing. </w:t>
      </w:r>
    </w:p>
    <w:p>
      <w:pPr>
        <w:pStyle w:val="TextBody"/>
        <w:spacing w:before="270" w:after="0"/>
        <w:rPr>
          <w:rFonts w:ascii="Times New Roman" w:hAnsi="Times New Roman"/>
          <w:i/>
          <w:sz w:val="20"/>
        </w:rPr>
      </w:pPr>
      <w:r>
        <w:rPr>
          <w:rFonts w:ascii="Times New Roman" w:hAnsi="Times New Roman"/>
          <w:i/>
          <w:sz w:val="20"/>
        </w:rPr>
        <w:t xml:space="preserve">Pharmacology and Pharmacogenetics </w:t>
      </w:r>
    </w:p>
    <w:p>
      <w:pPr>
        <w:pStyle w:val="TextBody"/>
        <w:pBdr/>
        <w:spacing w:before="90" w:after="0"/>
        <w:rPr/>
      </w:pPr>
      <w:r>
        <w:rPr>
          <w:rFonts w:ascii="Times New Roman" w:hAnsi="Times New Roman"/>
          <w:sz w:val="20"/>
        </w:rPr>
        <w:t>Gencaros pharmacology appears to be different from other compounds in the beta-blocker class in two fundamental respects. First, studies conducted by our researchers indicate that in human myocardial preparations, Gencaro leads to inactivation of constitutively active (i.e. functional in the absence of bound agonist) ß</w:t>
      </w:r>
      <w:r>
        <w:rPr>
          <w:rFonts w:ascii="Times New Roman" w:hAnsi="Times New Roman"/>
          <w:sz w:val="14"/>
        </w:rPr>
        <w:t>1</w:t>
      </w:r>
      <w:r>
        <w:rPr/>
        <w:t xml:space="preserve"> </w:t>
      </w:r>
      <w:r>
        <w:rPr>
          <w:rFonts w:ascii="Times New Roman" w:hAnsi="Times New Roman"/>
          <w:sz w:val="20"/>
        </w:rPr>
        <w:t>receptors through a mechanism separate from ß</w:t>
      </w:r>
      <w:r>
        <w:rPr>
          <w:rFonts w:ascii="Times New Roman" w:hAnsi="Times New Roman"/>
          <w:sz w:val="14"/>
        </w:rPr>
        <w:t>1</w:t>
      </w:r>
      <w:r>
        <w:rPr>
          <w:rFonts w:ascii="Times New Roman" w:hAnsi="Times New Roman"/>
          <w:sz w:val="20"/>
        </w:rPr>
        <w:t>-blockade, in addition to inhibiting the binding activity of the ß</w:t>
      </w:r>
      <w:r>
        <w:rPr>
          <w:rFonts w:ascii="Times New Roman" w:hAnsi="Times New Roman"/>
          <w:sz w:val="14"/>
        </w:rPr>
        <w:t>1</w:t>
      </w:r>
      <w:r>
        <w:rPr/>
        <w:t xml:space="preserve"> </w:t>
      </w:r>
      <w:r>
        <w:rPr>
          <w:rFonts w:ascii="Times New Roman" w:hAnsi="Times New Roman"/>
          <w:sz w:val="20"/>
        </w:rPr>
        <w:t xml:space="preserve">receptor like a typical beta-blocker. Second, these same studies indicate that Gencaro lowers the systemic levels of the neurotransmitter norepinephrine, or NE, which is released by cardiac and other sympathetic nerves. These two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pPr>
      <w:r>
        <w:rPr>
          <w:rFonts w:ascii="Times New Roman" w:hAnsi="Times New Roman"/>
          <w:sz w:val="20"/>
        </w:rPr>
        <w:t>properties interact with common genetic variations in two cardiac receptors, the ß</w:t>
      </w:r>
      <w:r>
        <w:rPr>
          <w:rFonts w:ascii="Times New Roman" w:hAnsi="Times New Roman"/>
          <w:sz w:val="14"/>
        </w:rPr>
        <w:t>1</w:t>
      </w:r>
      <w:r>
        <w:rPr/>
        <w:t xml:space="preserve"> </w:t>
      </w:r>
      <w:r>
        <w:rPr>
          <w:rFonts w:ascii="Times New Roman" w:hAnsi="Times New Roman"/>
          <w:sz w:val="20"/>
        </w:rPr>
        <w:t xml:space="preserve">and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receptors, to produce the unique pharmacogenetic profile of Gencaro. We believe that these two properties, and their pharmacogenetic implications, are unique to Gencaro. </w:t>
      </w:r>
    </w:p>
    <w:p>
      <w:pPr>
        <w:pStyle w:val="TextBody"/>
        <w:pBdr/>
        <w:spacing w:before="180" w:after="0"/>
        <w:rPr/>
      </w:pPr>
      <w:r>
        <w:rPr>
          <w:rFonts w:ascii="Times New Roman" w:hAnsi="Times New Roman"/>
          <w:sz w:val="20"/>
        </w:rPr>
        <w:t>Gencaro has an important interaction with the ß</w:t>
      </w:r>
      <w:r>
        <w:rPr>
          <w:rFonts w:ascii="Times New Roman" w:hAnsi="Times New Roman"/>
          <w:sz w:val="14"/>
        </w:rPr>
        <w:t>1</w:t>
      </w:r>
      <w:r>
        <w:rPr/>
        <w:t xml:space="preserve"> </w:t>
      </w:r>
      <w:r>
        <w:rPr>
          <w:rFonts w:ascii="Times New Roman" w:hAnsi="Times New Roman"/>
          <w:sz w:val="20"/>
        </w:rPr>
        <w:t>receptor found on muscle cells, or cardiac myocytes, of the heart. The general role of the ß</w:t>
      </w:r>
      <w:r>
        <w:rPr>
          <w:rFonts w:ascii="Times New Roman" w:hAnsi="Times New Roman"/>
          <w:sz w:val="14"/>
        </w:rPr>
        <w:t>1</w:t>
      </w:r>
      <w:r>
        <w:rPr/>
        <w:t xml:space="preserve"> </w:t>
      </w:r>
      <w:r>
        <w:rPr>
          <w:rFonts w:ascii="Times New Roman" w:hAnsi="Times New Roman"/>
          <w:sz w:val="20"/>
        </w:rPr>
        <w:t>receptor and its downstream signaling cascades is to regulate the strength and rate of the hearts contractions. NE serves as an activator of the ß</w:t>
      </w:r>
      <w:r>
        <w:rPr>
          <w:rFonts w:ascii="Times New Roman" w:hAnsi="Times New Roman"/>
          <w:sz w:val="14"/>
        </w:rPr>
        <w:t>1</w:t>
      </w:r>
      <w:r>
        <w:rPr/>
        <w:t xml:space="preserve"> </w:t>
      </w:r>
      <w:r>
        <w:rPr>
          <w:rFonts w:ascii="Times New Roman" w:hAnsi="Times New Roman"/>
          <w:sz w:val="20"/>
        </w:rPr>
        <w:t>receptor, causing the receptor to initiate signaling to the cardiac myocyte. Although this signaling may be beneficial to the failing heart in the short term, in chronic HF patients the ß</w:t>
      </w:r>
      <w:r>
        <w:rPr>
          <w:rFonts w:ascii="Times New Roman" w:hAnsi="Times New Roman"/>
          <w:sz w:val="14"/>
        </w:rPr>
        <w:t>1</w:t>
      </w:r>
      <w:r>
        <w:rPr/>
        <w:t xml:space="preserve"> </w:t>
      </w:r>
      <w:r>
        <w:rPr>
          <w:rFonts w:ascii="Times New Roman" w:hAnsi="Times New Roman"/>
          <w:sz w:val="20"/>
        </w:rPr>
        <w:t>receptor also initiates harmful, or cardiomyopathic, signaling which, over time, exacerbates the hearts structural and functional decline. Beta-blockers counteract this destructive process by reducing ß</w:t>
      </w:r>
      <w:r>
        <w:rPr>
          <w:rFonts w:ascii="Times New Roman" w:hAnsi="Times New Roman"/>
          <w:sz w:val="14"/>
        </w:rPr>
        <w:t>1</w:t>
      </w:r>
      <w:r>
        <w:rPr/>
        <w:t xml:space="preserve"> </w:t>
      </w:r>
      <w:r>
        <w:rPr>
          <w:rFonts w:ascii="Times New Roman" w:hAnsi="Times New Roman"/>
          <w:sz w:val="20"/>
        </w:rPr>
        <w:t>receptor signaling. They do this by binding to the receptor and blocking NE molecules from binding and activating the signaling activity and, in Gencaros case, by also inactivating certain ß</w:t>
      </w:r>
      <w:r>
        <w:rPr>
          <w:rFonts w:ascii="Times New Roman" w:hAnsi="Times New Roman"/>
          <w:sz w:val="14"/>
        </w:rPr>
        <w:t>1</w:t>
      </w:r>
      <w:r>
        <w:rPr/>
        <w:t xml:space="preserve"> </w:t>
      </w:r>
      <w:r>
        <w:rPr>
          <w:rFonts w:ascii="Times New Roman" w:hAnsi="Times New Roman"/>
          <w:sz w:val="20"/>
        </w:rPr>
        <w:t xml:space="preserve">receptors that are constitutively active (active in the absence of NE stimulation). </w:t>
      </w:r>
    </w:p>
    <w:p>
      <w:pPr>
        <w:pStyle w:val="TextBody"/>
        <w:pBdr/>
        <w:spacing w:before="180" w:after="0"/>
        <w:rPr/>
      </w:pPr>
      <w:r>
        <w:rPr>
          <w:rFonts w:ascii="Times New Roman" w:hAnsi="Times New Roman"/>
          <w:sz w:val="20"/>
        </w:rPr>
        <w:t>There are two common genetic variations of the ß</w:t>
      </w:r>
      <w:r>
        <w:rPr>
          <w:rFonts w:ascii="Times New Roman" w:hAnsi="Times New Roman"/>
          <w:sz w:val="14"/>
        </w:rPr>
        <w:t>1</w:t>
      </w:r>
      <w:r>
        <w:rPr/>
        <w:t xml:space="preserve"> </w:t>
      </w:r>
      <w:r>
        <w:rPr>
          <w:rFonts w:ascii="Times New Roman" w:hAnsi="Times New Roman"/>
          <w:sz w:val="20"/>
        </w:rPr>
        <w:t>receptor, each of which we estimate is present in approximately 50% of the U.S. population. One of these variations is known as the ß</w:t>
      </w:r>
      <w:r>
        <w:rPr>
          <w:rFonts w:ascii="Times New Roman" w:hAnsi="Times New Roman"/>
          <w:sz w:val="14"/>
        </w:rPr>
        <w:t>1</w:t>
      </w:r>
      <w:r>
        <w:rPr>
          <w:rFonts w:ascii="Times New Roman" w:hAnsi="Times New Roman"/>
          <w:sz w:val="20"/>
        </w:rPr>
        <w:t>-389 Arg/Arg genotype, or ß</w:t>
      </w:r>
      <w:r>
        <w:rPr>
          <w:rFonts w:ascii="Times New Roman" w:hAnsi="Times New Roman"/>
          <w:sz w:val="14"/>
        </w:rPr>
        <w:t>1</w:t>
      </w:r>
      <w:r>
        <w:rPr>
          <w:rFonts w:ascii="Times New Roman" w:hAnsi="Times New Roman"/>
          <w:sz w:val="20"/>
        </w:rPr>
        <w:t>-389 Arg receptor variant. Laboratory studies indicate that this variation results in a higher functioning ß</w:t>
      </w:r>
      <w:r>
        <w:rPr>
          <w:rFonts w:ascii="Times New Roman" w:hAnsi="Times New Roman"/>
          <w:sz w:val="14"/>
        </w:rPr>
        <w:t>1</w:t>
      </w:r>
      <w:r>
        <w:rPr/>
        <w:t xml:space="preserve"> </w:t>
      </w:r>
      <w:r>
        <w:rPr>
          <w:rFonts w:ascii="Times New Roman" w:hAnsi="Times New Roman"/>
          <w:sz w:val="20"/>
        </w:rPr>
        <w:t>receptor, which has a greater ability to mediate the stimulatory effects of NE. In addition, this variation is also more likely to be constitutively active and signal the cardiac myocyte to contract in the absence of NE. The ß</w:t>
      </w:r>
      <w:r>
        <w:rPr>
          <w:rFonts w:ascii="Times New Roman" w:hAnsi="Times New Roman"/>
          <w:sz w:val="14"/>
        </w:rPr>
        <w:t>1</w:t>
      </w:r>
      <w:r>
        <w:rPr>
          <w:rFonts w:ascii="Times New Roman" w:hAnsi="Times New Roman"/>
          <w:sz w:val="20"/>
        </w:rPr>
        <w:t>-389 Arg receptor also has much higher binding affinity for NE as compared to the other variation, the ß</w:t>
      </w:r>
      <w:r>
        <w:rPr>
          <w:rFonts w:ascii="Times New Roman" w:hAnsi="Times New Roman"/>
          <w:sz w:val="14"/>
        </w:rPr>
        <w:t>1</w:t>
      </w:r>
      <w:r>
        <w:rPr>
          <w:rFonts w:ascii="Times New Roman" w:hAnsi="Times New Roman"/>
          <w:sz w:val="20"/>
        </w:rPr>
        <w:t>-389 Gly carrier. The 389 Gly version, also present in about 50% of the U.S. population, results in a ß</w:t>
      </w:r>
      <w:r>
        <w:rPr>
          <w:rFonts w:ascii="Times New Roman" w:hAnsi="Times New Roman"/>
          <w:sz w:val="14"/>
        </w:rPr>
        <w:t>1</w:t>
      </w:r>
      <w:r>
        <w:rPr/>
        <w:t xml:space="preserve"> </w:t>
      </w:r>
      <w:r>
        <w:rPr>
          <w:rFonts w:ascii="Times New Roman" w:hAnsi="Times New Roman"/>
          <w:sz w:val="20"/>
        </w:rPr>
        <w:t>receptor that is much lower functioning and, according to laboratory studies, has less probability of being in a constitutively active state compared to the ß</w:t>
      </w:r>
      <w:r>
        <w:rPr>
          <w:rFonts w:ascii="Times New Roman" w:hAnsi="Times New Roman"/>
          <w:sz w:val="14"/>
        </w:rPr>
        <w:t>1</w:t>
      </w:r>
      <w:r>
        <w:rPr>
          <w:rFonts w:ascii="Times New Roman" w:hAnsi="Times New Roman"/>
          <w:sz w:val="20"/>
        </w:rPr>
        <w:t xml:space="preserve">-389 Arg/Arg receptor. </w:t>
      </w:r>
    </w:p>
    <w:p>
      <w:pPr>
        <w:pStyle w:val="TextBody"/>
        <w:pBdr/>
        <w:spacing w:before="180" w:after="0"/>
        <w:rPr/>
      </w:pPr>
      <w:r>
        <w:rPr>
          <w:rFonts w:ascii="Times New Roman" w:hAnsi="Times New Roman"/>
          <w:sz w:val="20"/>
        </w:rPr>
        <w:t>We believe Gencaro has a powerful interaction with the higher-functioning ß</w:t>
      </w:r>
      <w:r>
        <w:rPr>
          <w:rFonts w:ascii="Times New Roman" w:hAnsi="Times New Roman"/>
          <w:sz w:val="14"/>
        </w:rPr>
        <w:t>1</w:t>
      </w:r>
      <w:r>
        <w:rPr>
          <w:rFonts w:ascii="Times New Roman" w:hAnsi="Times New Roman"/>
          <w:sz w:val="20"/>
        </w:rPr>
        <w:t>-389 Arg/Arg variation of the ß</w:t>
      </w:r>
      <w:r>
        <w:rPr>
          <w:rFonts w:ascii="Times New Roman" w:hAnsi="Times New Roman"/>
          <w:sz w:val="14"/>
        </w:rPr>
        <w:t>1</w:t>
      </w:r>
      <w:r>
        <w:rPr/>
        <w:t xml:space="preserve"> </w:t>
      </w:r>
      <w:r>
        <w:rPr>
          <w:rFonts w:ascii="Times New Roman" w:hAnsi="Times New Roman"/>
          <w:sz w:val="20"/>
        </w:rPr>
        <w:t>receptor. Laboratory studies show that constitutively active receptors will continue to signal in the presence of standard beta-blockade. Laboratory studies in isolated human heart preparations also show that Gencaro has the unusual ability of being able to stop the signaling of constitutively active receptors. We believe that individuals with the ß</w:t>
      </w:r>
      <w:r>
        <w:rPr>
          <w:rFonts w:ascii="Times New Roman" w:hAnsi="Times New Roman"/>
          <w:sz w:val="14"/>
        </w:rPr>
        <w:t>1</w:t>
      </w:r>
      <w:r>
        <w:rPr>
          <w:rFonts w:ascii="Times New Roman" w:hAnsi="Times New Roman"/>
          <w:sz w:val="20"/>
        </w:rPr>
        <w:t>-389 Arg/Arg genotype potentially will realize an enhanced therapeutic response to Gencaro because of the greater potential for active state, cardiomyopathic signaling among individuals with this genotype, and the larger reduction in signaling that these individuals experience when taking Gencaro, relative to individuals with the ß</w:t>
      </w:r>
      <w:r>
        <w:rPr>
          <w:rFonts w:ascii="Times New Roman" w:hAnsi="Times New Roman"/>
          <w:sz w:val="14"/>
        </w:rPr>
        <w:t>1</w:t>
      </w:r>
      <w:r>
        <w:rPr>
          <w:rFonts w:ascii="Times New Roman" w:hAnsi="Times New Roman"/>
          <w:sz w:val="20"/>
        </w:rPr>
        <w:t>-389 Gly carrier genotype. In addition, we believe the NE lowering properties of Gencaro will have selectively beneficial effect in patients who have only ß</w:t>
      </w:r>
      <w:r>
        <w:rPr>
          <w:rFonts w:ascii="Times New Roman" w:hAnsi="Times New Roman"/>
          <w:sz w:val="14"/>
        </w:rPr>
        <w:t>1</w:t>
      </w:r>
      <w:r>
        <w:rPr>
          <w:rFonts w:ascii="Times New Roman" w:hAnsi="Times New Roman"/>
          <w:sz w:val="20"/>
        </w:rPr>
        <w:t xml:space="preserve">-389 Arg receptors because of the higher binding affinity of Arg receptors for NE. </w:t>
      </w:r>
    </w:p>
    <w:p>
      <w:pPr>
        <w:pStyle w:val="TextBody"/>
        <w:pBdr/>
        <w:spacing w:before="180" w:after="0"/>
        <w:rPr/>
      </w:pPr>
      <w:r>
        <w:rPr>
          <w:rFonts w:ascii="Times New Roman" w:hAnsi="Times New Roman"/>
          <w:sz w:val="20"/>
        </w:rPr>
        <w:t xml:space="preserve">The efficacy of Gencaro also appears to be influenced by the </w:t>
      </w:r>
      <w:r>
        <w:rPr>
          <w:rFonts w:ascii="SYMBOL" w:hAnsi="SYMBOL"/>
          <w:sz w:val="20"/>
        </w:rPr>
        <w:t>a</w:t>
      </w:r>
      <w:r>
        <w:rPr>
          <w:rFonts w:ascii="Times New Roman" w:hAnsi="Times New Roman"/>
          <w:sz w:val="14"/>
        </w:rPr>
        <w:t>2C</w:t>
      </w:r>
      <w:r>
        <w:rPr/>
        <w:t xml:space="preserve"> </w:t>
      </w:r>
      <w:r>
        <w:rPr>
          <w:rFonts w:ascii="Times New Roman" w:hAnsi="Times New Roman"/>
          <w:sz w:val="20"/>
        </w:rPr>
        <w:t>receptor, located on the terminus of the sympathetic cardiac nerve, at its junction with the cardiac myocyte. The role of this receptor is to modulate the amount of NE that is present at this junction, which in turn affects the activation of ß</w:t>
      </w:r>
      <w:r>
        <w:rPr>
          <w:rFonts w:ascii="Times New Roman" w:hAnsi="Times New Roman"/>
          <w:sz w:val="14"/>
        </w:rPr>
        <w:t>1</w:t>
      </w:r>
      <w:r>
        <w:rPr/>
        <w:t xml:space="preserve"> </w:t>
      </w:r>
      <w:r>
        <w:rPr>
          <w:rFonts w:ascii="Times New Roman" w:hAnsi="Times New Roman"/>
          <w:sz w:val="20"/>
        </w:rPr>
        <w:t>receptors and the hearts activity. There are two important genetic variations of this receptor that appear to affect the performance of Gencaro; the </w:t>
      </w:r>
      <w:r>
        <w:rPr>
          <w:rFonts w:ascii="SYMBOL" w:hAnsi="SYMBOL"/>
          <w:sz w:val="20"/>
        </w:rPr>
        <w:t>a</w:t>
      </w:r>
      <w:r>
        <w:rPr>
          <w:rFonts w:ascii="Times New Roman" w:hAnsi="Times New Roman"/>
          <w:sz w:val="14"/>
        </w:rPr>
        <w:t>2C</w:t>
      </w:r>
      <w:r>
        <w:rPr>
          <w:rFonts w:ascii="Times New Roman" w:hAnsi="Times New Roman"/>
          <w:sz w:val="20"/>
        </w:rPr>
        <w:t xml:space="preserve">-wild type, which is the normal functioning version of the receptor (approximately 87%-90% of the U.S. general population), and the deletion variant, a version of the receptor that functions poorly (approximately 10%-13% of the U.S. general population). The DNA sub-study of patients from the BEST HF trial, conducted by Drs. Bristow and Liggett, indicated that these two variations of the </w:t>
      </w:r>
      <w:r>
        <w:rPr>
          <w:rFonts w:ascii="SYMBOL" w:hAnsi="SYMBOL"/>
          <w:sz w:val="20"/>
        </w:rPr>
        <w:t>a</w:t>
      </w:r>
      <w:r>
        <w:rPr>
          <w:rFonts w:ascii="Times New Roman" w:hAnsi="Times New Roman"/>
          <w:sz w:val="14"/>
        </w:rPr>
        <w:t>2C</w:t>
      </w:r>
      <w:r>
        <w:rPr/>
        <w:t xml:space="preserve"> </w:t>
      </w:r>
      <w:r>
        <w:rPr>
          <w:rFonts w:ascii="Times New Roman" w:hAnsi="Times New Roman"/>
          <w:sz w:val="20"/>
        </w:rPr>
        <w:t>receptor appear to affect Gencaro efficacy in HF if the 389Gly carrier variant of the ß</w:t>
      </w:r>
      <w:r>
        <w:rPr>
          <w:rFonts w:ascii="Times New Roman" w:hAnsi="Times New Roman"/>
          <w:sz w:val="14"/>
        </w:rPr>
        <w:t>1</w:t>
      </w:r>
      <w:r>
        <w:rPr/>
        <w:t xml:space="preserve"> </w:t>
      </w:r>
      <w:r>
        <w:rPr>
          <w:rFonts w:ascii="Times New Roman" w:hAnsi="Times New Roman"/>
          <w:sz w:val="20"/>
        </w:rPr>
        <w:t>receptor is also present, but not if the 389 Arg receptor variant of the ß</w:t>
      </w:r>
      <w:r>
        <w:rPr>
          <w:rFonts w:ascii="Times New Roman" w:hAnsi="Times New Roman"/>
          <w:sz w:val="14"/>
        </w:rPr>
        <w:t>1</w:t>
      </w:r>
      <w:r>
        <w:rPr/>
        <w:t xml:space="preserve"> </w:t>
      </w:r>
      <w:r>
        <w:rPr>
          <w:rFonts w:ascii="Times New Roman" w:hAnsi="Times New Roman"/>
          <w:sz w:val="20"/>
        </w:rPr>
        <w:t>receptor is present; in patients with the ß</w:t>
      </w:r>
      <w:r>
        <w:rPr>
          <w:rFonts w:ascii="Times New Roman" w:hAnsi="Times New Roman"/>
          <w:sz w:val="14"/>
        </w:rPr>
        <w:t>1</w:t>
      </w:r>
      <w:r>
        <w:rPr>
          <w:rFonts w:ascii="Times New Roman" w:hAnsi="Times New Roman"/>
          <w:sz w:val="20"/>
        </w:rPr>
        <w:t xml:space="preserve">-389 Gly carrier variant, the wild type version of the </w:t>
      </w:r>
      <w:r>
        <w:rPr>
          <w:rFonts w:ascii="SYMBOL" w:hAnsi="SYMBOL"/>
          <w:sz w:val="20"/>
        </w:rPr>
        <w:t>a</w:t>
      </w:r>
      <w:r>
        <w:rPr>
          <w:rFonts w:ascii="Times New Roman" w:hAnsi="Times New Roman"/>
          <w:sz w:val="14"/>
        </w:rPr>
        <w:t>2C</w:t>
      </w:r>
      <w:r>
        <w:rPr/>
        <w:t xml:space="preserve"> </w:t>
      </w:r>
      <w:r>
        <w:rPr>
          <w:rFonts w:ascii="Times New Roman" w:hAnsi="Times New Roman"/>
          <w:sz w:val="20"/>
        </w:rPr>
        <w:t>receptor appears to enhance efficacy, as compared to the deletion variant which appears to reduce efficacy. When the Arg version of the ß</w:t>
      </w:r>
      <w:r>
        <w:rPr>
          <w:rFonts w:ascii="Times New Roman" w:hAnsi="Times New Roman"/>
          <w:sz w:val="14"/>
        </w:rPr>
        <w:t>1</w:t>
      </w:r>
      <w:r>
        <w:rPr/>
        <w:t xml:space="preserve"> </w:t>
      </w:r>
      <w:r>
        <w:rPr>
          <w:rFonts w:ascii="Times New Roman" w:hAnsi="Times New Roman"/>
          <w:sz w:val="20"/>
        </w:rPr>
        <w:t>receptor is present (ß</w:t>
      </w:r>
      <w:r>
        <w:rPr>
          <w:rFonts w:ascii="Times New Roman" w:hAnsi="Times New Roman"/>
          <w:sz w:val="14"/>
        </w:rPr>
        <w:t>1</w:t>
      </w:r>
      <w:r>
        <w:rPr>
          <w:rFonts w:ascii="Times New Roman" w:hAnsi="Times New Roman"/>
          <w:sz w:val="20"/>
        </w:rPr>
        <w:t xml:space="preserve">-389 Arg/Arg), the efficacy of Gencaro does not appear to depend on which version of the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receptor is present. </w:t>
      </w:r>
    </w:p>
    <w:p>
      <w:pPr>
        <w:pStyle w:val="TextBody"/>
        <w:spacing w:before="180" w:after="0"/>
        <w:rPr>
          <w:rFonts w:ascii="Times New Roman" w:hAnsi="Times New Roman"/>
          <w:sz w:val="20"/>
        </w:rPr>
      </w:pPr>
      <w:r>
        <w:rPr>
          <w:rFonts w:ascii="Times New Roman" w:hAnsi="Times New Roman"/>
          <w:sz w:val="20"/>
        </w:rPr>
        <w:t xml:space="preserve">The DNA sub-study from the BEST HF trial indicated that the combinations of these receptor variations in individual patients appear to influence the response to Gencaro with respect to significant clinical endpoints.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rPr/>
      </w:pPr>
      <w:r>
        <w:rPr>
          <w:rFonts w:ascii="Times New Roman" w:hAnsi="Times New Roman"/>
          <w:sz w:val="20"/>
        </w:rPr>
        <w:t>However, the ß</w:t>
      </w:r>
      <w:r>
        <w:rPr>
          <w:rFonts w:ascii="Times New Roman" w:hAnsi="Times New Roman"/>
          <w:sz w:val="14"/>
        </w:rPr>
        <w:t>1</w:t>
      </w:r>
      <w:r>
        <w:rPr>
          <w:rFonts w:ascii="Times New Roman" w:hAnsi="Times New Roman"/>
          <w:sz w:val="20"/>
        </w:rPr>
        <w:t>-389 Arg/Arg variant appeared to have the most powerful effect on Gencaro response. While we believe that the ß</w:t>
      </w:r>
      <w:r>
        <w:rPr>
          <w:rFonts w:ascii="Times New Roman" w:hAnsi="Times New Roman"/>
          <w:sz w:val="14"/>
        </w:rPr>
        <w:t>1</w:t>
      </w:r>
      <w:r>
        <w:rPr>
          <w:rFonts w:ascii="Times New Roman" w:hAnsi="Times New Roman"/>
          <w:sz w:val="20"/>
        </w:rPr>
        <w:t xml:space="preserve">-389 Gly carrier patients may respond favorably to Gencaro depending on their </w:t>
      </w:r>
      <w:r>
        <w:rPr>
          <w:rFonts w:ascii="SYMBOL" w:hAnsi="SYMBOL"/>
          <w:sz w:val="20"/>
        </w:rPr>
        <w:t>a</w:t>
      </w:r>
      <w:r>
        <w:rPr>
          <w:rFonts w:ascii="Times New Roman" w:hAnsi="Times New Roman"/>
          <w:sz w:val="14"/>
        </w:rPr>
        <w:t>2C</w:t>
      </w:r>
      <w:r>
        <w:rPr/>
        <w:t xml:space="preserve"> </w:t>
      </w:r>
      <w:r>
        <w:rPr>
          <w:rFonts w:ascii="Times New Roman" w:hAnsi="Times New Roman"/>
          <w:sz w:val="20"/>
        </w:rPr>
        <w:t>variation type, we believe that all patients that possess the ß</w:t>
      </w:r>
      <w:r>
        <w:rPr>
          <w:rFonts w:ascii="Times New Roman" w:hAnsi="Times New Roman"/>
          <w:sz w:val="14"/>
        </w:rPr>
        <w:t>1</w:t>
      </w:r>
      <w:r>
        <w:rPr>
          <w:rFonts w:ascii="Times New Roman" w:hAnsi="Times New Roman"/>
          <w:sz w:val="20"/>
        </w:rPr>
        <w:t>-389 Arg/Arg variant may be candidates for Gencaro. The ß</w:t>
      </w:r>
      <w:r>
        <w:rPr>
          <w:rFonts w:ascii="Times New Roman" w:hAnsi="Times New Roman"/>
          <w:sz w:val="14"/>
        </w:rPr>
        <w:t>1</w:t>
      </w:r>
      <w:r>
        <w:rPr>
          <w:rFonts w:ascii="Times New Roman" w:hAnsi="Times New Roman"/>
          <w:sz w:val="20"/>
        </w:rPr>
        <w:t>-389 Arg/Arg variant group, or very favorable group, constitutes an estimated 47-50% of the U.S. population. We believe these individuals may have an enhanced therapeutic response to Gencaro because of its effect on this higher-functioning/constitutively active ß</w:t>
      </w:r>
      <w:r>
        <w:rPr>
          <w:rFonts w:ascii="Times New Roman" w:hAnsi="Times New Roman"/>
          <w:sz w:val="14"/>
        </w:rPr>
        <w:t>1</w:t>
      </w:r>
      <w:r>
        <w:rPr/>
        <w:t xml:space="preserve"> </w:t>
      </w:r>
      <w:r>
        <w:rPr>
          <w:rFonts w:ascii="Times New Roman" w:hAnsi="Times New Roman"/>
          <w:sz w:val="20"/>
        </w:rPr>
        <w:t xml:space="preserve">receptor variant, and a favorable response to NE lowering, regardless of the patients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receptor genotype. The planned AF clinical trial will enroll only patients that possess this very favorable genotype. </w:t>
      </w:r>
    </w:p>
    <w:p>
      <w:pPr>
        <w:pStyle w:val="TextBody"/>
        <w:spacing w:before="270" w:after="0"/>
        <w:rPr>
          <w:rFonts w:ascii="Times New Roman" w:hAnsi="Times New Roman"/>
          <w:i/>
          <w:sz w:val="20"/>
        </w:rPr>
      </w:pPr>
      <w:r>
        <w:rPr>
          <w:rFonts w:ascii="Times New Roman" w:hAnsi="Times New Roman"/>
          <w:i/>
          <w:sz w:val="20"/>
        </w:rPr>
        <w:t xml:space="preserve">The BEST HF trial </w:t>
      </w:r>
    </w:p>
    <w:p>
      <w:pPr>
        <w:pStyle w:val="TextBody"/>
        <w:spacing w:before="90" w:after="0"/>
        <w:rPr>
          <w:rFonts w:ascii="Times New Roman" w:hAnsi="Times New Roman"/>
          <w:sz w:val="20"/>
        </w:rPr>
      </w:pPr>
      <w:r>
        <w:rPr>
          <w:rFonts w:ascii="Times New Roman" w:hAnsi="Times New Roman"/>
          <w:sz w:val="20"/>
        </w:rPr>
        <w:t xml:space="preserve">The BEST HF trial began in 1995. It was a double-blind, placebo-controlled, multi-center study of bucindolols effect on reduction of mortality and morbidity in an advanced chronic HF population. The primary endpoint of the BEST HF trial was all cause mortality (ACM) and the pre-specified main secondary endpoint was progression of HF, defined as HF death, cardiac transplant, HF hospitalization, or emergency room visit for the treatment of worsening HF not requiring hospitalization. The trial was planned to run four and one-half years, and enroll 2,800 patients. The trial enrolled a total of 2,708 chronic HF patients, who were mostly from the United States. Under the umbrella of the BEST HF trial sub-studies program, a DNA bank and sub-study was created, and 1,040 of the BEST patients participated by providing blood for DNA analysis. The DNA bank provided data for the DNA sub-study of BEST patients conducted by Drs. Bristow and Liggett. </w:t>
      </w:r>
    </w:p>
    <w:p>
      <w:pPr>
        <w:pStyle w:val="TextBody"/>
        <w:spacing w:before="180" w:after="0"/>
        <w:rPr>
          <w:rFonts w:ascii="Times New Roman" w:hAnsi="Times New Roman"/>
          <w:sz w:val="20"/>
        </w:rPr>
      </w:pPr>
      <w:r>
        <w:rPr>
          <w:rFonts w:ascii="Times New Roman" w:hAnsi="Times New Roman"/>
          <w:sz w:val="20"/>
        </w:rPr>
        <w:t xml:space="preserve">In 1999, the BEST HF trial was terminated prior to the completion of follow-up, in response to a recommendation of the BEST HF trial Data and Safety Monitoring Board. The primary reason for termination was loss of investigator equipoise; in other words, the fact that the BEST investigators were no longer uncertain regarding the comparative therapeutic merits of giving a placebo versus giving a beta-blocker to a HF patient. Positive mortality results from two other HF trials involving other beta-blockers had been reported, and a substantial number of BEST HF trial investigators concluded that it was unethical to continue to give placebo to BEST HF trial participants. As a result, some investigators began to prescribe these other beta-blockers to patients in the trial, which threatened to destroy the trials integrity, therefore the trial was terminated early. </w:t>
      </w:r>
    </w:p>
    <w:p>
      <w:pPr>
        <w:pStyle w:val="TextBody"/>
        <w:spacing w:before="270" w:after="0"/>
        <w:rPr>
          <w:rFonts w:ascii="Times New Roman" w:hAnsi="Times New Roman"/>
          <w:i/>
          <w:sz w:val="20"/>
        </w:rPr>
      </w:pPr>
      <w:r>
        <w:rPr>
          <w:rFonts w:ascii="Times New Roman" w:hAnsi="Times New Roman"/>
          <w:i/>
          <w:sz w:val="20"/>
        </w:rPr>
        <w:t xml:space="preserve">Clinical Results and the DNA Sub-study </w:t>
      </w:r>
    </w:p>
    <w:p>
      <w:pPr>
        <w:pStyle w:val="TextBody"/>
        <w:spacing w:before="90" w:after="0"/>
        <w:rPr>
          <w:rFonts w:ascii="Times New Roman" w:hAnsi="Times New Roman"/>
          <w:sz w:val="20"/>
        </w:rPr>
      </w:pPr>
      <w:r>
        <w:rPr>
          <w:rFonts w:ascii="Times New Roman" w:hAnsi="Times New Roman"/>
          <w:sz w:val="20"/>
        </w:rPr>
        <w:t xml:space="preserve">Following termination, the preliminary results of the study were analyzed and published. The preliminary determination and general perception were that the BEST HF trial had failed on the basis of not meeting its primary endpoint of ACM. The published values were a 10% risk reduction in mortality with a p-value of 0.10. Subsequently, we reanalyzed the results from BEST, in accordance with the FDA approved, pre-specified statistical analysis plans, which had not been performed by the sponsors of BEST when the trial was terminated. Our reanalysis appeared to show a 13% risk reduction on the primary endpoint of all-cause mortality in the BEST HF trial with a p-value of 0.053. </w:t>
      </w:r>
    </w:p>
    <w:p>
      <w:pPr>
        <w:pStyle w:val="TextBody"/>
        <w:spacing w:before="180" w:after="0"/>
        <w:rPr>
          <w:rFonts w:ascii="Times New Roman" w:hAnsi="Times New Roman"/>
          <w:sz w:val="20"/>
        </w:rPr>
      </w:pPr>
      <w:r>
        <w:rPr>
          <w:rFonts w:ascii="Times New Roman" w:hAnsi="Times New Roman"/>
          <w:sz w:val="20"/>
        </w:rPr>
        <w:t xml:space="preserve">In 2003 and 2004, the results of the DNA sub-study conducted by Drs. Bristow and Liggett began to be released and analyzed. The DNA sub-study results indicated a significant enhancement of response on the major clinical endpoints from the BEST HF trial in patients with the very favorable genotype. The HF risk reduction on clinical efficacy endpoints such as mortality and hospitalization ranged from approximately 34% to approximately 48% in this genotype. In addition, in arrhythmia endpoints of atrial fibrillation or ventricular fibrillation, tracked by adverse events and surveillance ECGs, the risk reduction by bucindolol in the very favorable genotype appeared to be even greater, ranging from 74% to 76%.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Shown below are certain of the primary and secondary endpoint data from the BEST HF DNA sub-study results, by genotype: </w:t>
      </w:r>
    </w:p>
    <w:p>
      <w:pPr>
        <w:pStyle w:val="TextBody"/>
        <w:pBdr/>
        <w:spacing w:before="270" w:after="0"/>
        <w:rPr>
          <w:rFonts w:ascii="Times New Roman" w:hAnsi="Times New Roman"/>
          <w:b/>
          <w:i/>
          <w:sz w:val="20"/>
        </w:rPr>
      </w:pPr>
      <w:r>
        <w:rPr>
          <w:rFonts w:ascii="Times New Roman" w:hAnsi="Times New Roman"/>
          <w:b/>
          <w:i/>
          <w:sz w:val="20"/>
        </w:rPr>
        <w:t>BEST HF Trial Clinical Responses</w:t>
      </w:r>
      <w:r>
        <w:rPr>
          <w:rFonts w:ascii="Times New Roman" w:hAnsi="Times New Roman"/>
          <w:b/>
          <w:i/>
          <w:sz w:val="14"/>
        </w:rPr>
        <w:t>1</w:t>
      </w:r>
      <w:r>
        <w:rPr>
          <w:rFonts w:ascii="Times New Roman" w:hAnsi="Times New Roman"/>
          <w:b/>
          <w:i/>
          <w:sz w:val="20"/>
        </w:rPr>
        <w:t xml:space="preserve"> by Genotype Groups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68"/>
        <w:gridCol w:w="618"/>
        <w:gridCol w:w="245"/>
        <w:gridCol w:w="706"/>
        <w:gridCol w:w="470"/>
        <w:gridCol w:w="562"/>
        <w:gridCol w:w="163"/>
        <w:gridCol w:w="472"/>
        <w:gridCol w:w="335"/>
        <w:gridCol w:w="562"/>
        <w:gridCol w:w="291"/>
        <w:gridCol w:w="479"/>
        <w:gridCol w:w="234"/>
      </w:tblGrid>
      <w:tr>
        <w:trPr/>
        <w:tc>
          <w:tcPr>
            <w:tcW w:w="5068"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506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Endpoint</w:t>
            </w:r>
          </w:p>
        </w:tc>
        <w:tc>
          <w:tcPr>
            <w:tcW w:w="618"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Very Favorable</w:t>
              <w:br/>
              <w:t>patients</w:t>
              <w:br/>
              <w:t>(47%)</w:t>
            </w:r>
          </w:p>
        </w:tc>
        <w:tc>
          <w:tcPr>
            <w:tcW w:w="470"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rPr/>
            </w:pPr>
            <w:r>
              <w:rPr/>
              <w:t> </w:t>
            </w:r>
          </w:p>
        </w:tc>
        <w:tc>
          <w:tcPr>
            <w:tcW w:w="6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Favorable</w:t>
              <w:br/>
              <w:t>patients</w:t>
              <w:br/>
              <w:t>(40%)</w:t>
            </w:r>
          </w:p>
        </w:tc>
        <w:tc>
          <w:tcPr>
            <w:tcW w:w="335"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rPr/>
            </w:pPr>
            <w:r>
              <w:rPr/>
              <w:t> </w:t>
            </w:r>
          </w:p>
        </w:tc>
        <w:tc>
          <w:tcPr>
            <w:tcW w:w="7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Unfavorable</w:t>
              <w:br/>
              <w:t>patients</w:t>
              <w:br/>
              <w:t>(13%)</w:t>
            </w:r>
          </w:p>
        </w:tc>
        <w:tc>
          <w:tcPr>
            <w:tcW w:w="234" w:type="dxa"/>
            <w:tcBorders/>
            <w:shd w:fill="auto" w:val="clear"/>
            <w:vAlign w:val="bottom"/>
          </w:tcPr>
          <w:p>
            <w:pPr>
              <w:pStyle w:val="TableContents"/>
              <w:spacing w:before="0" w:after="283"/>
              <w:rPr/>
            </w:pPr>
            <w:r>
              <w:rPr/>
              <w:t> </w:t>
            </w:r>
          </w:p>
        </w:tc>
      </w:tr>
      <w:tr>
        <w:trPr/>
        <w:tc>
          <w:tcPr>
            <w:tcW w:w="5068" w:type="dxa"/>
            <w:tcBorders/>
            <w:shd w:fill="CCEEFF" w:val="clear"/>
          </w:tcPr>
          <w:p>
            <w:pPr>
              <w:pStyle w:val="TableContents"/>
              <w:spacing w:before="0" w:after="283"/>
              <w:rPr>
                <w:rFonts w:ascii="Times New Roman" w:hAnsi="Times New Roman"/>
                <w:sz w:val="20"/>
              </w:rPr>
            </w:pPr>
            <w:r>
              <w:rPr>
                <w:rFonts w:ascii="Times New Roman" w:hAnsi="Times New Roman"/>
                <w:sz w:val="20"/>
              </w:rPr>
              <w:t>All Cause Mortality (ACM), TTE</w:t>
            </w:r>
          </w:p>
        </w:tc>
        <w:tc>
          <w:tcPr>
            <w:tcW w:w="61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38</w:t>
            </w:r>
          </w:p>
        </w:tc>
        <w:tc>
          <w:tcPr>
            <w:tcW w:w="470"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rFonts w:ascii="WINGDINGS" w:hAnsi="WINGDINGS"/>
                <w:sz w:val="20"/>
              </w:rPr>
            </w:pPr>
            <w:r>
              <w:rPr>
                <w:rFonts w:ascii="WINGDINGS" w:hAnsi="WINGDINGS"/>
                <w:sz w:val="20"/>
              </w:rPr>
              <w:t>h</w:t>
            </w:r>
          </w:p>
        </w:tc>
        <w:tc>
          <w:tcPr>
            <w:tcW w:w="4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8" w:type="dxa"/>
            <w:tcBorders/>
            <w:shd w:fill="auto" w:val="clear"/>
          </w:tcPr>
          <w:p>
            <w:pPr>
              <w:pStyle w:val="TableContents"/>
              <w:spacing w:before="0" w:after="283"/>
              <w:rPr>
                <w:rFonts w:ascii="Times New Roman" w:hAnsi="Times New Roman"/>
                <w:sz w:val="20"/>
              </w:rPr>
            </w:pPr>
            <w:r>
              <w:rPr>
                <w:rFonts w:ascii="Times New Roman" w:hAnsi="Times New Roman"/>
                <w:sz w:val="20"/>
              </w:rPr>
              <w:t>Cardiovascular Mortality (CVM), TTE</w:t>
            </w:r>
          </w:p>
        </w:tc>
        <w:tc>
          <w:tcPr>
            <w:tcW w:w="61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48</w:t>
            </w:r>
          </w:p>
        </w:tc>
        <w:tc>
          <w:tcPr>
            <w:tcW w:w="470"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rFonts w:ascii="WINGDINGS" w:hAnsi="WINGDINGS"/>
                <w:sz w:val="20"/>
              </w:rPr>
            </w:pPr>
            <w:r>
              <w:rPr>
                <w:rFonts w:ascii="WINGDINGS" w:hAnsi="WINGDINGS"/>
                <w:sz w:val="20"/>
              </w:rPr>
              <w:t>h</w:t>
            </w:r>
          </w:p>
        </w:tc>
        <w:tc>
          <w:tcPr>
            <w:tcW w:w="4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8" w:type="dxa"/>
            <w:tcBorders/>
            <w:shd w:fill="CCEEFF" w:val="clear"/>
          </w:tcPr>
          <w:p>
            <w:pPr>
              <w:pStyle w:val="TableContents"/>
              <w:spacing w:before="0" w:after="283"/>
              <w:rPr>
                <w:rFonts w:ascii="Times New Roman" w:hAnsi="Times New Roman"/>
                <w:sz w:val="20"/>
              </w:rPr>
            </w:pPr>
            <w:r>
              <w:rPr>
                <w:rFonts w:ascii="Times New Roman" w:hAnsi="Times New Roman"/>
                <w:sz w:val="20"/>
              </w:rPr>
              <w:t>ACM + transplantation</w:t>
            </w:r>
          </w:p>
        </w:tc>
        <w:tc>
          <w:tcPr>
            <w:tcW w:w="61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43</w:t>
            </w:r>
          </w:p>
        </w:tc>
        <w:tc>
          <w:tcPr>
            <w:tcW w:w="470"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rFonts w:ascii="WINGDINGS" w:hAnsi="WINGDINGS"/>
                <w:sz w:val="20"/>
              </w:rPr>
            </w:pPr>
            <w:r>
              <w:rPr>
                <w:rFonts w:ascii="WINGDINGS" w:hAnsi="WINGDINGS"/>
                <w:sz w:val="20"/>
              </w:rPr>
              <w:t>h</w:t>
            </w:r>
          </w:p>
        </w:tc>
        <w:tc>
          <w:tcPr>
            <w:tcW w:w="4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8" w:type="dxa"/>
            <w:tcBorders/>
            <w:shd w:fill="auto" w:val="clear"/>
          </w:tcPr>
          <w:p>
            <w:pPr>
              <w:pStyle w:val="TableContents"/>
              <w:spacing w:before="0" w:after="283"/>
              <w:rPr>
                <w:rFonts w:ascii="Times New Roman" w:hAnsi="Times New Roman"/>
                <w:sz w:val="20"/>
              </w:rPr>
            </w:pPr>
            <w:r>
              <w:rPr>
                <w:rFonts w:ascii="Times New Roman" w:hAnsi="Times New Roman"/>
                <w:sz w:val="20"/>
              </w:rPr>
              <w:t>HF (HF) Progression</w:t>
            </w:r>
          </w:p>
        </w:tc>
        <w:tc>
          <w:tcPr>
            <w:tcW w:w="61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34</w:t>
            </w:r>
          </w:p>
        </w:tc>
        <w:tc>
          <w:tcPr>
            <w:tcW w:w="470"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4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8" w:type="dxa"/>
            <w:tcBorders/>
            <w:shd w:fill="CCEEFF" w:val="clear"/>
          </w:tcPr>
          <w:p>
            <w:pPr>
              <w:pStyle w:val="TableContents"/>
              <w:spacing w:before="0" w:after="283"/>
              <w:rPr>
                <w:rFonts w:ascii="Times New Roman" w:hAnsi="Times New Roman"/>
                <w:sz w:val="20"/>
              </w:rPr>
            </w:pPr>
            <w:r>
              <w:rPr>
                <w:rFonts w:ascii="Times New Roman" w:hAnsi="Times New Roman"/>
                <w:sz w:val="20"/>
              </w:rPr>
              <w:t>HF Hosp days/patient</w:t>
            </w:r>
          </w:p>
        </w:tc>
        <w:tc>
          <w:tcPr>
            <w:tcW w:w="61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48</w:t>
            </w:r>
          </w:p>
        </w:tc>
        <w:tc>
          <w:tcPr>
            <w:tcW w:w="470"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rFonts w:ascii="WINGDINGS" w:hAnsi="WINGDINGS"/>
                <w:sz w:val="20"/>
              </w:rPr>
            </w:pPr>
            <w:r>
              <w:rPr>
                <w:rFonts w:ascii="WINGDINGS" w:hAnsi="WINGDINGS"/>
                <w:sz w:val="20"/>
              </w:rPr>
              <w:t>h</w:t>
            </w:r>
          </w:p>
        </w:tc>
        <w:tc>
          <w:tcPr>
            <w:tcW w:w="4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8" w:type="dxa"/>
            <w:tcBorders/>
            <w:shd w:fill="auto" w:val="clear"/>
          </w:tcPr>
          <w:p>
            <w:pPr>
              <w:pStyle w:val="TableContents"/>
              <w:spacing w:before="0" w:after="283"/>
              <w:rPr>
                <w:rFonts w:ascii="Times New Roman" w:hAnsi="Times New Roman"/>
                <w:sz w:val="20"/>
              </w:rPr>
            </w:pPr>
            <w:r>
              <w:rPr>
                <w:rFonts w:ascii="Times New Roman" w:hAnsi="Times New Roman"/>
                <w:sz w:val="20"/>
              </w:rPr>
              <w:t>AF prevention (from AE and ECG db)</w:t>
            </w:r>
          </w:p>
        </w:tc>
        <w:tc>
          <w:tcPr>
            <w:tcW w:w="61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74</w:t>
            </w:r>
          </w:p>
        </w:tc>
        <w:tc>
          <w:tcPr>
            <w:tcW w:w="470"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3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rFonts w:ascii="WINGDINGS" w:hAnsi="WINGDINGS"/>
                <w:sz w:val="20"/>
              </w:rPr>
            </w:pPr>
            <w:r>
              <w:rPr>
                <w:rFonts w:ascii="WINGDINGS" w:hAnsi="WINGDINGS"/>
                <w:sz w:val="20"/>
              </w:rPr>
              <w:t>h</w:t>
            </w:r>
          </w:p>
        </w:tc>
        <w:tc>
          <w:tcPr>
            <w:tcW w:w="4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8" w:type="dxa"/>
            <w:tcBorders/>
            <w:shd w:fill="CCEEFF" w:val="clear"/>
          </w:tcPr>
          <w:p>
            <w:pPr>
              <w:pStyle w:val="TableContents"/>
              <w:spacing w:before="0" w:after="283"/>
              <w:rPr>
                <w:rFonts w:ascii="Times New Roman" w:hAnsi="Times New Roman"/>
                <w:sz w:val="20"/>
              </w:rPr>
            </w:pPr>
            <w:r>
              <w:rPr>
                <w:rFonts w:ascii="Times New Roman" w:hAnsi="Times New Roman"/>
                <w:sz w:val="20"/>
              </w:rPr>
              <w:t>VT/VF prevention (from AE db)</w:t>
            </w:r>
          </w:p>
        </w:tc>
        <w:tc>
          <w:tcPr>
            <w:tcW w:w="61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70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76</w:t>
            </w:r>
          </w:p>
        </w:tc>
        <w:tc>
          <w:tcPr>
            <w:tcW w:w="470"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56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4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3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2"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rFonts w:ascii="WINGDINGS" w:hAnsi="WINGDINGS"/>
                <w:sz w:val="20"/>
              </w:rPr>
            </w:pPr>
            <w:r>
              <w:rPr>
                <w:rFonts w:ascii="WINGDINGS" w:hAnsi="WINGDINGS"/>
                <w:sz w:val="20"/>
              </w:rPr>
              <w:t>i</w:t>
            </w:r>
          </w:p>
        </w:tc>
        <w:tc>
          <w:tcPr>
            <w:tcW w:w="4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Covariate adjusted, transplant censored analysis with 1  hazard ratio estimates presented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p&lt;0.05; **p</w:t>
            </w:r>
            <w:r>
              <w:rPr>
                <w:rFonts w:ascii="Times New Roman" w:hAnsi="Times New Roman"/>
                <w:sz w:val="20"/>
                <w:u w:val="single"/>
              </w:rPr>
              <w:t>&lt;</w:t>
            </w:r>
            <w:r>
              <w:rPr>
                <w:rFonts w:ascii="Times New Roman" w:hAnsi="Times New Roman"/>
                <w:sz w:val="20"/>
              </w:rPr>
              <w:t xml:space="preserve">0.007; TTE: Time To Event; CRF: Case Report Form; Adj.: Adjudicated </w:t>
            </w:r>
          </w:p>
        </w:tc>
      </w:tr>
    </w:tbl>
    <w:p>
      <w:pPr>
        <w:pStyle w:val="TextBody"/>
        <w:spacing w:before="270" w:after="0"/>
        <w:rPr>
          <w:rFonts w:ascii="Times New Roman" w:hAnsi="Times New Roman"/>
          <w:i/>
          <w:sz w:val="20"/>
        </w:rPr>
      </w:pPr>
      <w:r>
        <w:rPr>
          <w:rFonts w:ascii="Times New Roman" w:hAnsi="Times New Roman"/>
          <w:i/>
          <w:sz w:val="20"/>
        </w:rPr>
        <w:t xml:space="preserve">Analysis of BEST HF trial for AF </w:t>
      </w:r>
    </w:p>
    <w:p>
      <w:pPr>
        <w:pStyle w:val="TextBody"/>
        <w:spacing w:before="90" w:after="0"/>
        <w:rPr>
          <w:rFonts w:ascii="Times New Roman" w:hAnsi="Times New Roman"/>
          <w:sz w:val="20"/>
        </w:rPr>
      </w:pPr>
      <w:r>
        <w:rPr>
          <w:rFonts w:ascii="Times New Roman" w:hAnsi="Times New Roman"/>
          <w:sz w:val="20"/>
        </w:rPr>
        <w:t xml:space="preserve">Recently, the BEST HF study data was further analyzed focusing on AF.AF. According Although there was no pre-determined AF endpoint, including reduction in risk of AF, in the BEST HF trial, according to our analysis of adverse events and surveillance ECGs during the trial, 8% of patients developed new onset AF, with a greater incidence observed in the placebo group (10%) compared to the bucindolol group (6%). This corresponded to a 36% reduction in the incidence of new onset AF (based on rates) for patients receiving bucindolol (p = 0.002). In a time to event analysis, the risk of new onset AF was reduced by 41% (p = 0.0004) with bucindolol treatment. </w:t>
      </w:r>
    </w:p>
    <w:p>
      <w:pPr>
        <w:pStyle w:val="TextBody"/>
        <w:pBdr/>
        <w:spacing w:before="180" w:after="0"/>
        <w:rPr/>
      </w:pPr>
      <w:r>
        <w:rPr>
          <w:rFonts w:ascii="Times New Roman" w:hAnsi="Times New Roman"/>
          <w:sz w:val="20"/>
        </w:rPr>
        <w:t>As with the overall study cohort, most patients in the 1,040 patient DNA sub-study were in normal heart rhythm, also referred to as sinus rhythm, at baseline. The proportion of patients in sinus rhythm at baseline was also similar in the two treatment groups for the overall DNA sub-study cohort, as well as in the ß</w:t>
      </w:r>
      <w:r>
        <w:rPr>
          <w:rFonts w:ascii="Times New Roman" w:hAnsi="Times New Roman"/>
          <w:sz w:val="14"/>
        </w:rPr>
        <w:t>1</w:t>
      </w:r>
      <w:r>
        <w:rPr>
          <w:rFonts w:ascii="Times New Roman" w:hAnsi="Times New Roman"/>
          <w:sz w:val="20"/>
        </w:rPr>
        <w:t xml:space="preserve">-389 genotype subgroups. In the BEST DNA sub-study, the proportion of patients who developed new onset AF was similar compared to the overall study cohort for both the placebo group (11% and 10%, respectively) and the Gencaro group in the DNA sub-study population compared to the overall study cohort (7% and 6%, respectively). Also, there was a similar reduction in new onset AF observed in the bucindolol group compared to placebo (43% and 41%, respectively, by time to event analysis). Therefore, the overall results from the genetic sub-study population are consistent with the results from the overall study population. </w:t>
      </w:r>
    </w:p>
    <w:p>
      <w:pPr>
        <w:pStyle w:val="TextBody"/>
        <w:spacing w:before="180" w:after="0"/>
        <w:rPr>
          <w:rFonts w:ascii="Times New Roman" w:hAnsi="Times New Roman"/>
          <w:sz w:val="20"/>
        </w:rPr>
      </w:pPr>
      <w:r>
        <w:rPr>
          <w:rFonts w:ascii="Times New Roman" w:hAnsi="Times New Roman"/>
          <w:sz w:val="20"/>
        </w:rPr>
        <w:t xml:space="preserve">The AF risk reduction we believe we observed in our analysis of adverse events and surveillance ECGs collected during the BEST HF trial was similar to AF risk reductions observed in a meta analysis of data regarding seven placebo-controlled ß-blocker trials in HF patients. In this meta-analysis, ß-blockers appeared to reduce the incidence of new onset AF in all but one trial, with an overall relative risk reduction of 27%. Despite the apparent efficacy signals for the prevention of AF in HF trials, we are not aware of any ß-blocker that has FDA approval of use in this indication. The BEST HF trial data indicate that Gencaro may have a robust effect on AF prevention in advanced HFREF patients and, factoring in differences in degree of clinical HF, Gencaro may have at least as good an effect as other ß-blocking agents, even without pharmacogenetic targeting. </w:t>
      </w:r>
    </w:p>
    <w:p>
      <w:pPr>
        <w:pStyle w:val="TextBody"/>
        <w:spacing w:before="360" w:after="0"/>
        <w:rPr>
          <w:rFonts w:ascii="Times New Roman" w:hAnsi="Times New Roman"/>
          <w:i/>
          <w:sz w:val="20"/>
        </w:rPr>
      </w:pPr>
      <w:r>
        <w:rPr>
          <w:rFonts w:ascii="Times New Roman" w:hAnsi="Times New Roman"/>
          <w:i/>
          <w:sz w:val="20"/>
        </w:rPr>
        <w:t xml:space="preserve">Clinical and Regulatory Strategy </w:t>
      </w:r>
    </w:p>
    <w:p>
      <w:pPr>
        <w:pStyle w:val="TextBody"/>
        <w:spacing w:before="90" w:after="0"/>
        <w:rPr>
          <w:rFonts w:ascii="Times New Roman" w:hAnsi="Times New Roman"/>
          <w:sz w:val="20"/>
        </w:rPr>
      </w:pPr>
      <w:r>
        <w:rPr>
          <w:rFonts w:ascii="Times New Roman" w:hAnsi="Times New Roman"/>
          <w:sz w:val="20"/>
        </w:rPr>
        <w:t xml:space="preserve">The regulatory strategy for Gencaro is to obtain an AF approval in a genotype specific HF population. We will seek to enroll certain patients with the Very Favorable genotype in our AF clinical trial since our analysis of AEs and ECGs from the BEST HF DNA sub-study indicated this group had a 74% reduction in risk for new AF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events. The FDA approval will be pursued through two Phase 3 trials. In the first trial, the design will include enrollment of 200-400 patients with persistent AF who have the genotype that appears to respond most favorably to Gencaro. The trial will investigate Gencaros superiority versus metoprolol CR/XL. If successful, this first Phase 3 AF trial would be followed by a second Phase 3 trial to be conducted in the same target population with the objective of using both trials to support a NDA for Gencaro as a therapy for AF in a genotype specific HF population. We believe if the first trial achieves a highly significant finding of statistical significance of less than 0.01, this single trial, with supporting data from the BEST HF trial, may be sufficient for a Gencaro NDA approval in an AF disease indication. </w:t>
      </w:r>
    </w:p>
    <w:p>
      <w:pPr>
        <w:pStyle w:val="TextBody"/>
        <w:spacing w:before="270" w:after="0"/>
        <w:rPr>
          <w:rFonts w:ascii="Times New Roman" w:hAnsi="Times New Roman"/>
          <w:b/>
          <w:i/>
          <w:sz w:val="20"/>
        </w:rPr>
      </w:pPr>
      <w:r>
        <w:rPr>
          <w:rFonts w:ascii="Times New Roman" w:hAnsi="Times New Roman"/>
          <w:b/>
          <w:i/>
          <w:sz w:val="20"/>
        </w:rPr>
        <w:t xml:space="preserve">The Gencaro Test </w:t>
      </w:r>
    </w:p>
    <w:p>
      <w:pPr>
        <w:pStyle w:val="TextBody"/>
        <w:spacing w:before="90" w:after="0"/>
        <w:rPr>
          <w:rFonts w:ascii="Times New Roman" w:hAnsi="Times New Roman"/>
          <w:sz w:val="20"/>
        </w:rPr>
      </w:pPr>
      <w:r>
        <w:rPr>
          <w:rFonts w:ascii="Times New Roman" w:hAnsi="Times New Roman"/>
          <w:sz w:val="20"/>
        </w:rPr>
        <w:t xml:space="preserve">If approved, we believe that Gencaro will be the first cardiovascular drug to be integrated with a companion diagnostic to predict enhanced efficacy. We believe the drug label being sought for Gencaro would identify the patient receptor genotypes that can expect enhanced efficacy, as well as those with a likelihood of a standard beta-blocker response and the small unfavorable subgroup with a low probability of benefit. The label being sought would recommend receptor genotype testing prior to initiation of therapy. Accordingly, we collaborated with LabCorp to develop a receptor genotype diagnostic, the Gencaro Test, and believe the test will be simple to administer and would be widely available. We currently intend to pursue a separate arrangement with LabCorp or another third party to provide the diagnostic services of the Gencaro Test needed to support our planned AF trial. </w:t>
      </w:r>
    </w:p>
    <w:p>
      <w:pPr>
        <w:pStyle w:val="TextBody"/>
        <w:pBdr/>
        <w:spacing w:before="180" w:after="0"/>
        <w:rPr/>
      </w:pPr>
      <w:r>
        <w:rPr>
          <w:rFonts w:ascii="Times New Roman" w:hAnsi="Times New Roman"/>
          <w:sz w:val="20"/>
        </w:rPr>
        <w:t>Through our existing agreement with LabCorp we have collaborated to develop and commercialize the Gencaro Test for the treatment of patients with HF. Under the terms of that collaboration, we licensed to LabCorp certain rights to commercialize a receptor genotype diagnostic for the ß</w:t>
      </w:r>
      <w:r>
        <w:rPr>
          <w:rFonts w:ascii="Times New Roman" w:hAnsi="Times New Roman"/>
          <w:sz w:val="14"/>
        </w:rPr>
        <w:t>1</w:t>
      </w:r>
      <w:r>
        <w:rPr/>
        <w:t xml:space="preserve"> </w:t>
      </w:r>
      <w:r>
        <w:rPr>
          <w:rFonts w:ascii="Times New Roman" w:hAnsi="Times New Roman"/>
          <w:sz w:val="20"/>
        </w:rPr>
        <w:t xml:space="preserve">and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polymorphisms. In return, LabCorp agreed to develop the Gencaro Test and obtain FDA clearance or approval of the Gencaro Test for HF. </w:t>
      </w:r>
    </w:p>
    <w:p>
      <w:pPr>
        <w:pStyle w:val="TextBody"/>
        <w:spacing w:before="270" w:after="0"/>
        <w:rPr>
          <w:rFonts w:ascii="Times New Roman" w:hAnsi="Times New Roman"/>
          <w:b/>
          <w:i/>
          <w:sz w:val="20"/>
        </w:rPr>
      </w:pPr>
      <w:r>
        <w:rPr>
          <w:rFonts w:ascii="Times New Roman" w:hAnsi="Times New Roman"/>
          <w:b/>
          <w:i/>
          <w:sz w:val="20"/>
        </w:rPr>
        <w:t xml:space="preserve">Licensing and Royalty Obligations </w:t>
      </w:r>
    </w:p>
    <w:p>
      <w:pPr>
        <w:pStyle w:val="TextBody"/>
        <w:spacing w:before="90" w:after="0"/>
        <w:rPr>
          <w:rFonts w:ascii="Times New Roman" w:hAnsi="Times New Roman"/>
          <w:sz w:val="20"/>
        </w:rPr>
      </w:pPr>
      <w:r>
        <w:rPr>
          <w:rFonts w:ascii="Times New Roman" w:hAnsi="Times New Roman"/>
          <w:sz w:val="20"/>
        </w:rPr>
        <w:t xml:space="preserve">We have licensed worldwide rights to Gencaro, including all preclinical and clinical data from Cardiovascular Pharmacology and Engineering Consultants, LLC, or CPEC, who has licensed rights in Gencaro from BMS. CPEC is a licensing entity which holds the rights of the biotechnology companies that were the commercial sponsors of the BEST trial. If the FDA grants marketing approval for Gencaro, the license agreements require that we make a milestone payment of $8.0 million, which is due within six months after FDA approval. Under the license agreements, we are required to make milestone payments of up to $5.0 million in the aggregate upon regulatory marketing approval in Europe and Japan. Our royalty obligation under the licenses ranges from 12.5% to 25% of revenue from the related product based on achievement of specified product sales levels including a 5% royalty that CPEC is obligated to pay under its original license agreement for Gencaro. We have the right to buy down the royalties to a range of 12.5% to 17% by making a payment within six months of regulatory approval. </w:t>
      </w:r>
    </w:p>
    <w:p>
      <w:pPr>
        <w:pStyle w:val="TextBody"/>
        <w:spacing w:before="180" w:after="0"/>
        <w:rPr>
          <w:rFonts w:ascii="Times New Roman" w:hAnsi="Times New Roman"/>
          <w:sz w:val="20"/>
        </w:rPr>
      </w:pPr>
      <w:r>
        <w:rPr>
          <w:rFonts w:ascii="Times New Roman" w:hAnsi="Times New Roman"/>
          <w:sz w:val="20"/>
        </w:rPr>
        <w:t xml:space="preserve">We also have licensed worldwide rights to intellectual property covering the pharmacogenetic response of Gencaro based on the cardiac receptor polymorphisms, which is owned by the University of Colorado. We have no material future financial obligations under this license. We also have an option to license exclusive, worldwide rights to develop and commercialize diagnostics for these receptor polymorphisms, for the purpose of prescribing Gencaro, from the licensee of these rights, the University of Cincinnati. </w:t>
      </w:r>
    </w:p>
    <w:p>
      <w:pPr>
        <w:pStyle w:val="TextBody"/>
        <w:spacing w:before="270" w:after="0"/>
        <w:rPr>
          <w:rFonts w:ascii="Times New Roman" w:hAnsi="Times New Roman"/>
          <w:b/>
          <w:i/>
          <w:sz w:val="20"/>
        </w:rPr>
      </w:pPr>
      <w:r>
        <w:rPr>
          <w:rFonts w:ascii="Times New Roman" w:hAnsi="Times New Roman"/>
          <w:b/>
          <w:i/>
          <w:sz w:val="20"/>
        </w:rPr>
        <w:t xml:space="preserve">Development Pipeline </w:t>
      </w:r>
    </w:p>
    <w:p>
      <w:pPr>
        <w:pStyle w:val="TextBody"/>
        <w:spacing w:before="90" w:after="0"/>
        <w:rPr>
          <w:rFonts w:ascii="Times New Roman" w:hAnsi="Times New Roman"/>
          <w:sz w:val="20"/>
        </w:rPr>
      </w:pPr>
      <w:r>
        <w:rPr>
          <w:rFonts w:ascii="Times New Roman" w:hAnsi="Times New Roman"/>
          <w:sz w:val="20"/>
        </w:rPr>
        <w:t xml:space="preserve">Our development activities are substantially focused on our lead product candidate, Gencaro, for the treatment of AF. We also believe, based upon data from the BEST HF trial, that Gencaro may have additional potential for the treatment of HF and ventricular tachycardia/ventricular fibrillation. In 2008 we submitted and the FDA accepted our NDA filing for Gencaro for the treatment of chronic HF. In 2009 the FDA issued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Complete Response Letter (CRL) in which the FDA stated that it could not approve the Gencaro NDA in its current form, and specified actions required for approval of the NDA, including conducting an additional Phase 3 clinical trial of Gencaro in patients with HF. In 2010 we reached agreement with the FDA, through the Special Protocol Assessment (SPA) process, on the design of a clinical trial to assess the safety and efficacy of Gencaro in approximately 3,200 patients with chronic HF who have the genotype that appears to respond most favorably to Gencaro. We do not expect to pursue development of Gencaro for disease indications beyond AF without entering into a strategic partnership or collaboration for an HF clinical program. We believe Gencaro has potential to address these additional indications, and that the clinical response of patients with these diseases may be genetically influenced, based on the same genetic markers we have identified for our proposed treatment of AF with Gencaro. </w:t>
      </w:r>
    </w:p>
    <w:p>
      <w:pPr>
        <w:pStyle w:val="TextBody"/>
        <w:spacing w:before="180" w:after="0"/>
        <w:rPr>
          <w:rFonts w:ascii="Times New Roman" w:hAnsi="Times New Roman"/>
          <w:sz w:val="20"/>
        </w:rPr>
      </w:pPr>
      <w:r>
        <w:rPr>
          <w:rFonts w:ascii="Times New Roman" w:hAnsi="Times New Roman"/>
          <w:sz w:val="20"/>
        </w:rPr>
        <w:t xml:space="preserve">We also have exclusive patent rights to other product candidates that have potential indications in cardiovascular disease, oncology and other therapeutic areas, some of which are in early stages of development and others of which are in later stages of development. We are seeking partners to assist us in the development of these candidates or who may license them. For example, we hold exclusive rights to rNAPc2, a potent, long acting, recombinant protein anticoagulant with a unique mechanism of action involving inhibition of tissue factor, the protein responsible for initiating the extrinsic coagulation pathway, the primary coagulation mechanism in humans. rNAPc2 was originally being developed as a cardiovascular therapy for thrombosis and other indications. As a result, it has an extensive human clinical record, and has been safely tested in over 700 human patients in nine Phase 1 and Phase 2 clinical trials. Previously, pilot studies of rNAPc2 conducted in non-human primates showed evidence of potential efficacy against lethal hemorrhagic fever viruses. </w:t>
      </w:r>
    </w:p>
    <w:p>
      <w:pPr>
        <w:pStyle w:val="TextBody"/>
        <w:spacing w:before="270" w:after="0"/>
        <w:rPr>
          <w:rFonts w:ascii="Times New Roman" w:hAnsi="Times New Roman"/>
          <w:b/>
          <w:i/>
          <w:sz w:val="20"/>
        </w:rPr>
      </w:pPr>
      <w:r>
        <w:rPr>
          <w:rFonts w:ascii="Times New Roman" w:hAnsi="Times New Roman"/>
          <w:b/>
          <w:i/>
          <w:sz w:val="20"/>
        </w:rPr>
        <w:t xml:space="preserve">Competition </w:t>
      </w:r>
    </w:p>
    <w:p>
      <w:pPr>
        <w:pStyle w:val="TextBody"/>
        <w:spacing w:before="90" w:after="0"/>
        <w:rPr>
          <w:rFonts w:ascii="Times New Roman" w:hAnsi="Times New Roman"/>
          <w:sz w:val="20"/>
        </w:rPr>
      </w:pPr>
      <w:r>
        <w:rPr>
          <w:rFonts w:ascii="Times New Roman" w:hAnsi="Times New Roman"/>
          <w:sz w:val="20"/>
        </w:rPr>
        <w:t xml:space="preserve">Current treatments include pharmaceutical intervention and device intervention. There are several antiarrhythmic drugs approved by the FDA for the treatment and/or prevention of recurrent AF. However, these drugs all have safety and/or administration concerns, and all but one have contraindications or label warnings regarding their prescription in patients with HF. </w:t>
      </w:r>
    </w:p>
    <w:p>
      <w:pPr>
        <w:pStyle w:val="TextBody"/>
        <w:spacing w:before="180" w:after="0"/>
        <w:rPr>
          <w:rFonts w:ascii="Times New Roman" w:hAnsi="Times New Roman"/>
          <w:sz w:val="20"/>
        </w:rPr>
      </w:pPr>
      <w:r>
        <w:rPr>
          <w:rFonts w:ascii="Times New Roman" w:hAnsi="Times New Roman"/>
          <w:sz w:val="20"/>
        </w:rPr>
        <w:t xml:space="preserve">Current device interventions for the treatment of AF include: </w:t>
      </w:r>
    </w:p>
    <w:p>
      <w:pPr>
        <w:pStyle w:val="TextBody"/>
        <w:spacing w:before="90" w:after="0"/>
        <w:rPr>
          <w:rFonts w:ascii="Times New Roman" w:hAnsi="Times New Roman"/>
          <w:sz w:val="20"/>
        </w:rPr>
      </w:pPr>
      <w:r>
        <w:rPr>
          <w:rFonts w:ascii="Times New Roman" w:hAnsi="Times New Roman"/>
          <w:sz w:val="20"/>
        </w:rPr>
        <w:t xml:space="preserve">Electrical cardioversion which is used to restore normal heart rhythm with administration of a direct current shock; </w:t>
      </w:r>
    </w:p>
    <w:p>
      <w:pPr>
        <w:pStyle w:val="TextBody"/>
        <w:spacing w:before="90" w:after="0"/>
        <w:rPr>
          <w:rFonts w:ascii="Times New Roman" w:hAnsi="Times New Roman"/>
          <w:sz w:val="20"/>
        </w:rPr>
      </w:pPr>
      <w:r>
        <w:rPr>
          <w:rFonts w:ascii="Times New Roman" w:hAnsi="Times New Roman"/>
          <w:sz w:val="20"/>
        </w:rPr>
        <w:t xml:space="preserve">Radiofrequency catheter ablation which is can be effective in patients for whom medications are ineffective; and, </w:t>
      </w:r>
    </w:p>
    <w:p>
      <w:pPr>
        <w:pStyle w:val="TextBody"/>
        <w:spacing w:before="90" w:after="0"/>
        <w:rPr>
          <w:rFonts w:ascii="Times New Roman" w:hAnsi="Times New Roman"/>
          <w:sz w:val="20"/>
        </w:rPr>
      </w:pPr>
      <w:r>
        <w:rPr>
          <w:rFonts w:ascii="Times New Roman" w:hAnsi="Times New Roman"/>
          <w:sz w:val="20"/>
        </w:rPr>
        <w:t xml:space="preserve">Atrial pacemakers, which are implanted under the skin to regulate heart rhythm. </w:t>
      </w:r>
    </w:p>
    <w:p>
      <w:pPr>
        <w:pStyle w:val="TextBody"/>
        <w:spacing w:before="180" w:after="0"/>
        <w:rPr>
          <w:rFonts w:ascii="Times New Roman" w:hAnsi="Times New Roman"/>
          <w:sz w:val="20"/>
        </w:rPr>
      </w:pPr>
      <w:r>
        <w:rPr>
          <w:rFonts w:ascii="Times New Roman" w:hAnsi="Times New Roman"/>
          <w:sz w:val="20"/>
        </w:rPr>
        <w:t xml:space="preserve">Considering that most of the approved drugs and device interventions for the treatment or prevention AF have notable risks or adverse side effects, we believe there is an unmet medical need for new AF treatments that have fewer side effects than currently available therapies and are more effective, particularly in patients with HF where the approved drugs are contra-indicated or have warnings regarding their prescribing information. We believe that Gencaros prevention of AF in HF patients would provide this patient population a safer treatment option than other treatments currently approved by the FDA. </w:t>
      </w:r>
    </w:p>
    <w:p>
      <w:pPr>
        <w:pStyle w:val="TextBody"/>
        <w:spacing w:before="180" w:after="0"/>
        <w:rPr>
          <w:rFonts w:ascii="Times New Roman" w:hAnsi="Times New Roman"/>
          <w:sz w:val="20"/>
        </w:rPr>
      </w:pPr>
      <w:r>
        <w:rPr>
          <w:rFonts w:ascii="Times New Roman" w:hAnsi="Times New Roman"/>
          <w:sz w:val="20"/>
        </w:rPr>
        <w:t xml:space="preserve">The pharmaceutical industry is highly competitive. We face significant competition from pharmaceutical companies and biotechnology companies that are researching and selling products designed to treat cardiovascular conditions. Most of these companies have significantly greater financial, product development, manufacturing, and commercial resources than we have. In addition, our proposed prescribing information for Gencaro includes a recommendation for genetic testing, which will add additional cost and procedures to the process of prescribing Gencaro, and which could make it more difficult for us to compete against existing therapies.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Manufacturing and Product Supply </w:t>
      </w:r>
    </w:p>
    <w:p>
      <w:pPr>
        <w:pStyle w:val="TextBody"/>
        <w:spacing w:before="90" w:after="0"/>
        <w:rPr>
          <w:rFonts w:ascii="Times New Roman" w:hAnsi="Times New Roman"/>
          <w:sz w:val="20"/>
        </w:rPr>
      </w:pPr>
      <w:r>
        <w:rPr>
          <w:rFonts w:ascii="Times New Roman" w:hAnsi="Times New Roman"/>
          <w:sz w:val="20"/>
        </w:rPr>
        <w:t xml:space="preserve">Gencaro is a small molecule drug with an established manufacturing history. Multiple manufacturers of both the API and drug product have successfully produced Gencaro for use in clinical trials over the course of its clinical development. We outsource all manufacturing and analytical testing of the Gencaro API and drug product. We have selected third party contract manufacturing organizations on the basis of their technical and regulatory expertise. Our approach with our contract manufacturing partners has been to replicate the manufacturing processes that were used to support the prior pivotal clinical trial with Gencaro, and to minimize any changes from these baseline processes, thereby reducing technical and regulatory risk. We contracted with Groupe Novasep to complete the drug substance registration batches required for the Gencaro NDA. These batches were successful, and the resulting drug substance was used to supply the drug product registration campaign. Remaining inventory was placed in current Good Manufacturing Practice, or cGMP, storage to provide a backup supply for the planned Phase 3 trial, and for use as an initial source of drug substance to support eventual product launch, if approved. </w:t>
      </w:r>
    </w:p>
    <w:p>
      <w:pPr>
        <w:pStyle w:val="TextBody"/>
        <w:spacing w:before="180" w:after="0"/>
        <w:rPr>
          <w:rFonts w:ascii="Times New Roman" w:hAnsi="Times New Roman"/>
          <w:sz w:val="20"/>
        </w:rPr>
      </w:pPr>
      <w:r>
        <w:rPr>
          <w:rFonts w:ascii="Times New Roman" w:hAnsi="Times New Roman"/>
          <w:sz w:val="20"/>
        </w:rPr>
        <w:t xml:space="preserve">For drug product production, we have contracted with Patheon, Inc. to manufacture the Gencaro tablets. Gencaro is produced in a tablet form, utilizing standard solid oral dosage processing techniques. Six separate dosage strengths are manufactured, with the maximum recommended dose of 50mg twice daily for patient weighing 75kg or less and 100mg twice daily for patients weighing more than 75kg. Registration batches were successfully completed by Patheon, Inc. and tablets from these runs have been placed in cGMP storage to supply the planned Phase 3 AF trial. </w:t>
      </w:r>
    </w:p>
    <w:p>
      <w:pPr>
        <w:pStyle w:val="TextBody"/>
        <w:spacing w:before="180" w:after="0"/>
        <w:rPr>
          <w:rFonts w:ascii="Times New Roman" w:hAnsi="Times New Roman"/>
          <w:sz w:val="20"/>
        </w:rPr>
      </w:pPr>
      <w:r>
        <w:rPr>
          <w:rFonts w:ascii="Times New Roman" w:hAnsi="Times New Roman"/>
          <w:sz w:val="20"/>
        </w:rPr>
        <w:t xml:space="preserve">If sufficient funding is obtained, our manufacturing focus for 2012 will be to prepare the blinded clinical trial supplies for Gencaro and the comparator compound, and to establish the appropriate packaging and clinical distribution channels necessary for the successful execution of the planned Phase 3 AF trial. </w:t>
      </w:r>
    </w:p>
    <w:p>
      <w:pPr>
        <w:pStyle w:val="TextBody"/>
        <w:spacing w:before="270" w:after="0"/>
        <w:rPr>
          <w:rFonts w:ascii="Times New Roman" w:hAnsi="Times New Roman"/>
          <w:b/>
          <w:i/>
          <w:sz w:val="20"/>
        </w:rPr>
      </w:pPr>
      <w:r>
        <w:rPr>
          <w:rFonts w:ascii="Times New Roman" w:hAnsi="Times New Roman"/>
          <w:b/>
          <w:i/>
          <w:sz w:val="20"/>
        </w:rPr>
        <w:t xml:space="preserve">Research and Development Expenses </w:t>
      </w:r>
    </w:p>
    <w:p>
      <w:pPr>
        <w:pStyle w:val="TextBody"/>
        <w:spacing w:before="90" w:after="0"/>
        <w:rPr>
          <w:rFonts w:ascii="Times New Roman" w:hAnsi="Times New Roman"/>
          <w:sz w:val="20"/>
        </w:rPr>
      </w:pPr>
      <w:r>
        <w:rPr>
          <w:rFonts w:ascii="Times New Roman" w:hAnsi="Times New Roman"/>
          <w:sz w:val="20"/>
        </w:rPr>
        <w:t xml:space="preserve">Our research and development expenses totaled $2.3 million for the year ended December 31, 2011 as compared to $3.1 million for 2010, a decrease of approximately $790,000. Our future R&amp;D expenses are highly contingent upon our ability to raise substantial additional funding or complete a strategic transaction. Should we receive funds from one or a combination of these sources, R&amp;D expense in 2012 could be substantially higher than 2011 as we initiate our planned AF clinical trial. Until substantial additional funding is obtained, R&amp;D expenses in 2012 are expected to be comparable to 2011 levels. </w:t>
      </w:r>
    </w:p>
    <w:p>
      <w:pPr>
        <w:pStyle w:val="TextBody"/>
        <w:spacing w:before="270" w:after="0"/>
        <w:rPr>
          <w:rFonts w:ascii="Times New Roman" w:hAnsi="Times New Roman"/>
          <w:b/>
          <w:i/>
          <w:sz w:val="20"/>
        </w:rPr>
      </w:pPr>
      <w:r>
        <w:rPr>
          <w:rFonts w:ascii="Times New Roman" w:hAnsi="Times New Roman"/>
          <w:b/>
          <w:i/>
          <w:sz w:val="20"/>
        </w:rPr>
        <w:t xml:space="preserve">Government Regulation </w:t>
      </w:r>
    </w:p>
    <w:p>
      <w:pPr>
        <w:pStyle w:val="TextBody"/>
        <w:spacing w:before="90" w:after="0"/>
        <w:rPr>
          <w:rFonts w:ascii="Times New Roman" w:hAnsi="Times New Roman"/>
          <w:sz w:val="20"/>
        </w:rPr>
      </w:pPr>
      <w:r>
        <w:rPr>
          <w:rFonts w:ascii="Times New Roman" w:hAnsi="Times New Roman"/>
          <w:sz w:val="20"/>
        </w:rPr>
        <w:t xml:space="preserve">Governmental authorities in the U.S. at the federal, state, and local levels and foreign countries extensively regulate, among other things, the research, development, testing, manufacture, labeling, promotion, advertising, marketing, distribution, sampling, and import and export of pharmaceutical and medical device products. </w:t>
      </w:r>
    </w:p>
    <w:p>
      <w:pPr>
        <w:pStyle w:val="TextBody"/>
        <w:spacing w:before="270" w:after="0"/>
        <w:rPr>
          <w:rFonts w:ascii="Times New Roman" w:hAnsi="Times New Roman"/>
          <w:i/>
          <w:sz w:val="20"/>
        </w:rPr>
      </w:pPr>
      <w:r>
        <w:rPr>
          <w:rFonts w:ascii="Times New Roman" w:hAnsi="Times New Roman"/>
          <w:i/>
          <w:sz w:val="20"/>
        </w:rPr>
        <w:t xml:space="preserve">Premarket Approval of Drugs </w:t>
      </w:r>
    </w:p>
    <w:p>
      <w:pPr>
        <w:pStyle w:val="TextBody"/>
        <w:spacing w:before="90" w:after="0"/>
        <w:rPr>
          <w:rFonts w:ascii="Times New Roman" w:hAnsi="Times New Roman"/>
          <w:sz w:val="20"/>
        </w:rPr>
      </w:pPr>
      <w:r>
        <w:rPr>
          <w:rFonts w:ascii="Times New Roman" w:hAnsi="Times New Roman"/>
          <w:sz w:val="20"/>
        </w:rPr>
        <w:t xml:space="preserve">FDA approval is required before any new drug, dosage form, indication, or strength can be marketed in the U.S. We anticipate that all of our products will require regulatory approval by governmental agencies prior to commercialization. The process of obtaining approval and the subsequent process of maintaining compliance with appropriate federal, state, local and foreign statutes and regulations require the expenditure of substantial time and financial resources. In addition, these statutes, rules, regulations and policies may change and our products may be subject to new legislation or regulations. There are numerous FDA and other federal and state sanctions for non-compliance. </w:t>
      </w:r>
    </w:p>
    <w:p>
      <w:pPr>
        <w:pStyle w:val="TextBody"/>
        <w:spacing w:before="180" w:after="0"/>
        <w:rPr>
          <w:rFonts w:ascii="Times New Roman" w:hAnsi="Times New Roman"/>
          <w:sz w:val="20"/>
        </w:rPr>
      </w:pPr>
      <w:r>
        <w:rPr>
          <w:rFonts w:ascii="Times New Roman" w:hAnsi="Times New Roman"/>
          <w:sz w:val="20"/>
        </w:rPr>
        <w:t xml:space="preserve">The steps required before new human therapeutic products are marketed in the U.S. and foreign countries include rigorous preclinical and clinical testing and other approval requirements by regulatory agencies, such as the FDA and comparable agencies in foreign countries.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Preclinical Phase.</w:t>
      </w:r>
      <w:r>
        <w:rPr>
          <w:rFonts w:ascii="Times New Roman" w:hAnsi="Times New Roman"/>
          <w:sz w:val="20"/>
        </w:rPr>
        <w:t xml:space="preserve"> Preclinical studies are generally conducted in the laboratory to evaluate the potential efficacy and safety of a product candidate. These studies include laboratory evaluation of product chemistry, formulation and stability, as well as studies to evaluate toxicity in animals. Preclinical studies are governed by numerous regulations. </w:t>
      </w:r>
    </w:p>
    <w:p>
      <w:pPr>
        <w:pStyle w:val="TextBody"/>
        <w:spacing w:before="180" w:after="0"/>
        <w:rPr>
          <w:rFonts w:ascii="Times New Roman" w:hAnsi="Times New Roman"/>
          <w:sz w:val="20"/>
        </w:rPr>
      </w:pPr>
      <w:r>
        <w:rPr>
          <w:rFonts w:ascii="Times New Roman" w:hAnsi="Times New Roman"/>
          <w:i/>
          <w:sz w:val="20"/>
        </w:rPr>
        <w:t>Clinical Phase.</w:t>
      </w:r>
      <w:r>
        <w:rPr>
          <w:rFonts w:ascii="Times New Roman" w:hAnsi="Times New Roman"/>
          <w:sz w:val="20"/>
        </w:rPr>
        <w:t xml:space="preserve"> Before human clinical trials can commence, an Investigational New Drug, or IND, application, submitted to FDA, or a comparable application submitted to a foreign countrys agency, must become effective. The clinical phase of development involves the performance of human studies, including adequate and well-controlled human clinical trials to establish the safety and efficacy of the product candidate for each proposed indication. Typically, clinical evaluation involves three sequential phases, which may overlap. During Phase 1, clinical trials are conducted with a relatively small number of subjects or patients to determine the early safety profile of a product candidate, as well as dose tolerance, absorption, and the pattern of drug distribution and drug metabolism. Phase 2 trials are conducted with groups of patients afflicted by a specific target disease to determine preliminary efficacy, optimal dosages and dosage tolerance and to identify possible adverse effects and safety risks. In Phase 3, larger-scale, multi- center trials are conducted with patients afflicted with a specific target disease to provide data for the statistical proof of efficacy and safety as required by regulatory agencies. The conduct of clinical trials is subject to extensive regulation. </w:t>
      </w:r>
    </w:p>
    <w:p>
      <w:pPr>
        <w:pStyle w:val="TextBody"/>
        <w:spacing w:before="180" w:after="0"/>
        <w:rPr>
          <w:rFonts w:ascii="Times New Roman" w:hAnsi="Times New Roman"/>
          <w:sz w:val="20"/>
        </w:rPr>
      </w:pPr>
      <w:r>
        <w:rPr>
          <w:rFonts w:ascii="Times New Roman" w:hAnsi="Times New Roman"/>
          <w:i/>
          <w:sz w:val="20"/>
        </w:rPr>
        <w:t>NDA Submission.</w:t>
      </w:r>
      <w:r>
        <w:rPr>
          <w:rFonts w:ascii="Times New Roman" w:hAnsi="Times New Roman"/>
          <w:sz w:val="20"/>
        </w:rPr>
        <w:t xml:space="preserve"> In the U.S., the results of preclinical and clinical testing along with chemistry, manufacturing and controls information, are submitted to the FDA in the form of an NDA. Under the Prescription Drug User Fee Act, or PDUFA, after submission of an NDA and payment, or waiver, of the required fee, the FDAs goal is to review most standard NDAs within 10 months from sponsor submission of the application by which time, the FDA must issue a complete response, or approve the NDA. </w:t>
      </w:r>
    </w:p>
    <w:p>
      <w:pPr>
        <w:pStyle w:val="TextBody"/>
        <w:spacing w:before="180" w:after="0"/>
        <w:rPr>
          <w:rFonts w:ascii="Times New Roman" w:hAnsi="Times New Roman"/>
          <w:sz w:val="20"/>
        </w:rPr>
      </w:pPr>
      <w:r>
        <w:rPr>
          <w:rFonts w:ascii="Times New Roman" w:hAnsi="Times New Roman"/>
          <w:sz w:val="20"/>
        </w:rPr>
        <w:t xml:space="preserve">In responding to an NDA, the FDA may grant marketing approval or deny the application if the FDA determines that the application does not satisfy the statutory and regulatory approval criteria. A denial may include a request for additional information, including additional clinical data and/or an additional Phase 3 clinical trial. Data from clinical trials are not always conclusive and FDA may interpret data differently than we interpret data. Under the Food and Drug Modernization Act of 1997, the FDA is authorized to approve a drug based on a single adequate and well-controlled study if such study and other confirmatory data are sufficient to establish the drugs effectiveness. However, it has long been the FDAs general position that the standard of proof of a drugs effectiveness generally requires at least two well-controlled and adequate Phase 3 clinical studies with p-values of less than 0.05 on the primary endpoint. </w:t>
      </w:r>
    </w:p>
    <w:p>
      <w:pPr>
        <w:pStyle w:val="TextBody"/>
        <w:spacing w:before="180" w:after="0"/>
        <w:rPr>
          <w:rFonts w:ascii="Times New Roman" w:hAnsi="Times New Roman"/>
          <w:sz w:val="20"/>
        </w:rPr>
      </w:pPr>
      <w:r>
        <w:rPr>
          <w:rFonts w:ascii="Times New Roman" w:hAnsi="Times New Roman"/>
          <w:sz w:val="20"/>
        </w:rPr>
        <w:t xml:space="preserve">In addition, in accordance with current FDA law and regulations, the FDA may refer a drug to an advisory committee for review prior to approval. In some cases, FDA may require completion, within a specified time period, of additional clinical studies after approval, referred to as Phase 4 clinical studies, to monitor the effect of a new product and may prevent or limit future marketing of the product based on the results of these post-marketing programs. Furthermore, prior to granting approval, the FDA generally conducts an inspection of the facilities, including outsourced facilities that will be involved in the manufacture, production, packaging, testing and control of the drug substance and finished drug product for compliance with current Good Manufacturing Practice, or cGMP, requirements. </w:t>
      </w:r>
    </w:p>
    <w:p>
      <w:pPr>
        <w:pStyle w:val="TextBody"/>
        <w:spacing w:before="180" w:after="0"/>
        <w:rPr>
          <w:rFonts w:ascii="Times New Roman" w:hAnsi="Times New Roman"/>
          <w:sz w:val="20"/>
        </w:rPr>
      </w:pPr>
      <w:r>
        <w:rPr>
          <w:rFonts w:ascii="Times New Roman" w:hAnsi="Times New Roman"/>
          <w:sz w:val="20"/>
        </w:rPr>
        <w:t xml:space="preserve">If the FDA approves the NDA, the sponsor is authorized to begin commercialization of the drug in accordance with the approval. Even if the FDA approves the NDA, the FDA may decide later to suspend or withdraw product approval if compliance with regulatory standards is not maintained or if safety problems are recognized after the product reaches the market. In addition, the FDA requires surveillance programs to monitor approved products that have been commercialized, and the agency has the power to require additional clinical studies, to require changes in labeling or to prevent further marketing of a product based on the results of these post-marketing programs. The FDA also has authority to request implementation of a risk evaluation and mitigation strategy, or REMS, that could restrict distribution of Gencaro or require us to provide additional risk information to prescribers. Whether or not FDA approval has been obtained, approval of a product candidate 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comparable foreign regulatory authorities is necessary prior to the commencement of marketing of a product candidate in those countries. The approval procedures vary among countries and can involve additional testing. The time required to obtain approval may differ from that required for FDA approval. Although there are some centralized procedures for filings in the European Union countries, in general each country has its own procedures and requirements. </w:t>
      </w:r>
    </w:p>
    <w:p>
      <w:pPr>
        <w:pStyle w:val="TextBody"/>
        <w:spacing w:before="180" w:after="0"/>
        <w:rPr>
          <w:rFonts w:ascii="Times New Roman" w:hAnsi="Times New Roman"/>
          <w:sz w:val="20"/>
        </w:rPr>
      </w:pPr>
      <w:r>
        <w:rPr>
          <w:rFonts w:ascii="Times New Roman" w:hAnsi="Times New Roman"/>
          <w:i/>
          <w:sz w:val="20"/>
        </w:rPr>
        <w:t>Post-approval Compliance.</w:t>
      </w:r>
      <w:r>
        <w:rPr>
          <w:rFonts w:ascii="Times New Roman" w:hAnsi="Times New Roman"/>
          <w:sz w:val="20"/>
        </w:rPr>
        <w:t xml:space="preserve"> If regulatory approval for a drug or medical device is obtained, the product and the facilities manufacturing the product are subject to periodic inspection and continued regulation by regulatory authorities, including compliance with cGMP, as well as labeling, advertising, promotion, recordkeeping, and reporting requirements, including the reporting of adverse events. In addition,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 Companies are responsible for compliance with such requirements and would be responsible to ensure that all contract manufacturing organizations who perform work for them also comply with such requirements. Failure to comply with these requirements can result in adverse publicity, warning letters, corrective advertising and potential civil and criminal penalties. </w:t>
      </w:r>
    </w:p>
    <w:p>
      <w:pPr>
        <w:pStyle w:val="TextBody"/>
        <w:spacing w:before="180" w:after="0"/>
        <w:rPr>
          <w:rFonts w:ascii="Times New Roman" w:hAnsi="Times New Roman"/>
          <w:sz w:val="20"/>
        </w:rPr>
      </w:pPr>
      <w:r>
        <w:rPr>
          <w:rFonts w:ascii="Times New Roman" w:hAnsi="Times New Roman"/>
          <w:i/>
          <w:sz w:val="20"/>
        </w:rPr>
        <w:t>Drug Price Competition and Patent Term Restoration Act of 1984.</w:t>
      </w:r>
      <w:r>
        <w:rPr>
          <w:rFonts w:ascii="Times New Roman" w:hAnsi="Times New Roman"/>
          <w:sz w:val="20"/>
        </w:rPr>
        <w:t xml:space="preserve"> Under the Drug Price Competition and Patent Term Restoration Act of 1984, also known as the Hatch-Waxman Act, Congress created an abbreviated FDA review process for generic versions of pioneer (brand name) drug products. The Hatch-Waxman Act also provides for patent term restoration and the award, in certain circumstances, of non-patent marketing exclusivities. </w:t>
      </w:r>
    </w:p>
    <w:p>
      <w:pPr>
        <w:pStyle w:val="TextBody"/>
        <w:spacing w:before="180" w:after="0"/>
        <w:rPr>
          <w:rFonts w:ascii="Times New Roman" w:hAnsi="Times New Roman"/>
          <w:sz w:val="20"/>
        </w:rPr>
      </w:pPr>
      <w:r>
        <w:rPr>
          <w:rFonts w:ascii="Times New Roman" w:hAnsi="Times New Roman"/>
          <w:i/>
          <w:sz w:val="20"/>
        </w:rPr>
        <w:t>Generic Drug Approval</w:t>
      </w:r>
      <w:r>
        <w:rPr>
          <w:rFonts w:ascii="Times New Roman" w:hAnsi="Times New Roman"/>
          <w:sz w:val="20"/>
        </w:rPr>
        <w:t xml:space="preserve">. The Hatch-Waxman Act established an abbreviated FDA review process for drugs that are shown to be equivalent to approved pioneer drugs. Approval for a generic drug is obtained by filing an abbreviated NDA, or ANDA. Generic drug applications are abbreviated because they generally do not include clinical data to demonstrate safety and effectiveness. Instead, an ANDA applicant must establish that its product is bioequivalent to an approved drug and that it is the same as the approved drug with respect to active ingredient(s), route of administration, dosage form, strength and recommended conditions of use (labeling). The FDA will approve the generic as suitable for an ANDA if it finds that the generic does not raise questions of safety and effectiveness as compared to the pioneer drug. A drug is not eligible for ANDA approval if the FDA determines that it is not equivalent to the pioneer drug or if it is intended for a different use. Any applicant who files an ANDA seeking approval of a generic version of an approved drug listed in FDAs Approved Drug Products with Therapeutic Equivalence Evaluations, or the Orange Book, before expiration of the patent(s) listed in the Orange Book for that approved drug, must certify to the FDA for each patent that (i) no patent information on the drug has been submitted to the FDA; (ii) that such patent has expired; (iii) the date on which such patent expires; or (iv) that such patent is invalid, unenforceable or will not be infringed by the manufacture, use or sale of the generic drug. If the ANDA applicant makes a certification pursuant to (iv) above, or a Paragraph IV certification, and the NDA holder files an infringement suit against the ANDA applicant within 45 days of receiving the Paragraph IV notification, the NDA owner is entitled to an automatic 30-month stay of FDAs ability to approve the ANDA. This 30-month stay will end early upon any decision by a court that the patent is invalid, unenforceable or not infringed by the generic drug. </w:t>
      </w:r>
    </w:p>
    <w:p>
      <w:pPr>
        <w:pStyle w:val="TextBody"/>
        <w:spacing w:before="180" w:after="0"/>
        <w:rPr>
          <w:rFonts w:ascii="Times New Roman" w:hAnsi="Times New Roman"/>
          <w:sz w:val="20"/>
        </w:rPr>
      </w:pPr>
      <w:r>
        <w:rPr>
          <w:rFonts w:ascii="Times New Roman" w:hAnsi="Times New Roman"/>
          <w:i/>
          <w:sz w:val="20"/>
        </w:rPr>
        <w:t>Patent Term Restoration.</w:t>
      </w:r>
      <w:r>
        <w:rPr>
          <w:rFonts w:ascii="Times New Roman" w:hAnsi="Times New Roman"/>
          <w:sz w:val="20"/>
        </w:rPr>
        <w:t xml:space="preserve"> The Hatch-Waxman Act provides for the restoration of a portion of the patent term lost during product development and FDA review of an application. However, the maximum period of restoration cannot exceed five years, or restore the total remaining term of the patent to greater than 14 years from the date of FDA approval of the product. </w:t>
      </w:r>
    </w:p>
    <w:p>
      <w:pPr>
        <w:pStyle w:val="TextBody"/>
        <w:spacing w:before="180" w:after="0"/>
        <w:rPr>
          <w:rFonts w:ascii="Times New Roman" w:hAnsi="Times New Roman"/>
          <w:sz w:val="20"/>
        </w:rPr>
      </w:pPr>
      <w:r>
        <w:rPr>
          <w:rFonts w:ascii="Times New Roman" w:hAnsi="Times New Roman"/>
          <w:i/>
          <w:sz w:val="20"/>
        </w:rPr>
        <w:t>Patent Term Extension</w:t>
      </w:r>
      <w:r>
        <w:rPr>
          <w:rFonts w:ascii="Times New Roman" w:hAnsi="Times New Roman"/>
          <w:sz w:val="20"/>
        </w:rPr>
        <w:t xml:space="preserve">. While the term of a U.S. Patent is 20 years from the earliest priority date of a patent application (excluding a provisional patent application) , a U.S. Patent that covers subject matter requiring regulatory approval to market is eligible for an extension of that patent term. Patent Term Extension, or PTE,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extends the term of an issued patent for generally 1) the length of the FDA approval process and 2) half of the time spent in clinical trials. However, there are certain limitations to PTE, including the limitation that the term cannot be extended more than 14 years after approval has been obtained. </w:t>
      </w:r>
    </w:p>
    <w:p>
      <w:pPr>
        <w:pStyle w:val="TextBody"/>
        <w:spacing w:before="180" w:after="0"/>
        <w:rPr>
          <w:rFonts w:ascii="Times New Roman" w:hAnsi="Times New Roman"/>
          <w:sz w:val="20"/>
        </w:rPr>
      </w:pPr>
      <w:r>
        <w:rPr>
          <w:rFonts w:ascii="Times New Roman" w:hAnsi="Times New Roman"/>
          <w:sz w:val="20"/>
        </w:rPr>
        <w:t xml:space="preserve">Under 35 U.S.C. § 156(a), a patent covering a method of using a product is eligible for PTE if the following conditions are met: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patent has not yet expired;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patent was not previously extended;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patent owner submits an application for PTE that includes all necessary supporting information within 60 days of FDA approval;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product was subject to regulatory review before its commercial marketing or use;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drug application is for the first permitted commercial marketing of the product. </w:t>
            </w:r>
          </w:p>
        </w:tc>
      </w:tr>
    </w:tbl>
    <w:p>
      <w:pPr>
        <w:pStyle w:val="TextBody"/>
        <w:pBdr/>
        <w:spacing w:before="180" w:after="0"/>
        <w:rPr/>
      </w:pPr>
      <w:r>
        <w:rPr>
          <w:rFonts w:ascii="Times New Roman" w:hAnsi="Times New Roman"/>
          <w:sz w:val="20"/>
        </w:rPr>
        <w:t>We have obtained three U.S. patents (U.S. Patent Nos. 7,678,824,8,080,578, 8,093,286,), and have one pending U.S. patent application that generally concern methods for treating patients with Gencaro based on the presence of certain polymorphisms in the ß</w:t>
      </w:r>
      <w:r>
        <w:rPr>
          <w:rFonts w:ascii="Times New Roman" w:hAnsi="Times New Roman"/>
          <w:sz w:val="14"/>
        </w:rPr>
        <w:t>1</w:t>
      </w:r>
      <w:r>
        <w:rPr/>
        <w:t xml:space="preserve"> </w:t>
      </w:r>
      <w:r>
        <w:rPr>
          <w:rFonts w:ascii="Times New Roman" w:hAnsi="Times New Roman"/>
          <w:sz w:val="20"/>
        </w:rPr>
        <w:t xml:space="preserve">and/or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adrenergic receptors. We believe that, if approved by the FDA, one of the U.S. patents may be eligible for PTE, which could provide approximately 3 years or more of additional patent life based on our current clinical trial plans. </w:t>
      </w:r>
    </w:p>
    <w:p>
      <w:pPr>
        <w:pStyle w:val="TextBody"/>
        <w:spacing w:before="180" w:after="0"/>
        <w:rPr>
          <w:rFonts w:ascii="Times New Roman" w:hAnsi="Times New Roman"/>
          <w:sz w:val="20"/>
        </w:rPr>
      </w:pPr>
      <w:r>
        <w:rPr>
          <w:rFonts w:ascii="Times New Roman" w:hAnsi="Times New Roman"/>
          <w:sz w:val="20"/>
        </w:rPr>
        <w:t xml:space="preserve">Supplementary Protection Certificate, or SPC, is a form of patent term extension that is available for pharmaceutical products approved for marketing in the European Union. We obtained a patent in Europe for use of Gencaro that is similar to the 824 patent (EP 1802775); this patent is in force in certain countries in Europe, including the United Kingdom, France, Germany, Italy and Spain. We believe that this patent may be eligible for an SPC, if Gencaro is approved for marketing in any European country in which the patent is in force, which could provide up to five years of additional patent life. </w:t>
      </w:r>
    </w:p>
    <w:p>
      <w:pPr>
        <w:pStyle w:val="TextBody"/>
        <w:spacing w:before="180" w:after="0"/>
        <w:rPr>
          <w:rFonts w:ascii="Times New Roman" w:hAnsi="Times New Roman"/>
          <w:sz w:val="20"/>
        </w:rPr>
      </w:pPr>
      <w:r>
        <w:rPr>
          <w:rFonts w:ascii="Times New Roman" w:hAnsi="Times New Roman"/>
          <w:i/>
          <w:sz w:val="20"/>
        </w:rPr>
        <w:t>Non-Patent Marketing Exclusivities.</w:t>
      </w:r>
      <w:r>
        <w:rPr>
          <w:rFonts w:ascii="Times New Roman" w:hAnsi="Times New Roman"/>
          <w:sz w:val="20"/>
        </w:rPr>
        <w:t xml:space="preserve"> Separate and apart from patent protection, the Hatch-Waxman Act entitles approved drugs to various periods of non-patent statutory protection, known as marketing exclusivity. The Hatch-Waxman Act provides five years of new chemical entity marketing exclusivity to the first applicant to gain approval of an NDA for a product that contains an active moiety not found in any other approved product. This exclusivity means that another manufacturer cannot submit an ANDA or 505(b)(2) NDA until the marketing exclusivity period ends. This exclusivity protects the entire new chemical entity franchise, including all products containing the active ingredient for any use and in any strength or dosage form, but will not prevent the submission or approval of stand-alone NDAs where the applicants have conducted their own clinical studies to demonstrate safety and effectiveness. There is an exception, however, for a competitor that seeks to challenge a patent with a Paragraph IV certification. Four years into the five-year exclusivity period, a manufacturer who alleges that one or more of the patents listed with the NDA is invalid, unenforceable or not infringed may submit an ANDA or 505(b)(2) NDA for a generic or modified version of the product. </w:t>
      </w:r>
    </w:p>
    <w:p>
      <w:pPr>
        <w:pStyle w:val="TextBody"/>
        <w:spacing w:before="180" w:after="0"/>
        <w:rPr>
          <w:rFonts w:ascii="Times New Roman" w:hAnsi="Times New Roman"/>
          <w:sz w:val="20"/>
        </w:rPr>
      </w:pPr>
      <w:r>
        <w:rPr>
          <w:rFonts w:ascii="Times New Roman" w:hAnsi="Times New Roman"/>
          <w:sz w:val="20"/>
        </w:rPr>
        <w:t xml:space="preserve">The Hatch-Waxman Act also provides three years of new use marketing exclusivity for the approval of NDAs, and supplements, where those applications contain the results of new clinical investigations (other than bioavailability studies) essential to the FDAs approval of the applications. Such applications may be submitted for new indications, dosage forms, strengths, or new conditions of use of approved products. So long as the studies are essential to the FDAs approval or were conducted by or for the applicant, this three-year exclusivity prohibits the final approval of ANDAs or 505(b)(2) NDAs for products with the specific changes associated with those studies. It does not prohibit the FDA from approving ANDAs or 505(b)(2) NDAs for other products containing the same active ingredient, without those changes. </w:t>
      </w:r>
    </w:p>
    <w:p>
      <w:pPr>
        <w:pStyle w:val="TextBody"/>
        <w:spacing w:before="270" w:after="0"/>
        <w:rPr>
          <w:rFonts w:ascii="Times New Roman" w:hAnsi="Times New Roman"/>
          <w:i/>
          <w:sz w:val="20"/>
        </w:rPr>
      </w:pPr>
      <w:r>
        <w:rPr>
          <w:rFonts w:ascii="Times New Roman" w:hAnsi="Times New Roman"/>
          <w:i/>
          <w:sz w:val="20"/>
        </w:rPr>
        <w:t xml:space="preserve">FDA Approval of Medical Devices </w:t>
      </w:r>
    </w:p>
    <w:p>
      <w:pPr>
        <w:pStyle w:val="TextBody"/>
        <w:spacing w:before="90" w:after="0"/>
        <w:rPr>
          <w:rFonts w:ascii="Times New Roman" w:hAnsi="Times New Roman"/>
          <w:sz w:val="20"/>
        </w:rPr>
      </w:pPr>
      <w:r>
        <w:rPr>
          <w:rFonts w:ascii="Times New Roman" w:hAnsi="Times New Roman"/>
          <w:sz w:val="20"/>
        </w:rPr>
        <w:t xml:space="preserve">Unless an exemption applies, each medical device that a company wishes to market in the U.S. requires either approval of a PMA or 510(k) clearance from the FDA. The FDA classifies medical devices into one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three classes. Devices deemed to pose lower risks are placed in either class I or II, which may require the manufacturer to submit to the FDA a 510(k) requesting permission to commercially distribute the device. This process is generally known as 510(k) clearance. Some low risk devices are exempted from this requirement. Devices deemed by the FDA to pose the greatest risks, or for which there is no predicate, are placed in class III, requiring approval of a PMA. </w:t>
      </w:r>
    </w:p>
    <w:p>
      <w:pPr>
        <w:pStyle w:val="TextBody"/>
        <w:spacing w:before="180" w:after="0"/>
        <w:rPr>
          <w:rFonts w:ascii="Times New Roman" w:hAnsi="Times New Roman"/>
          <w:sz w:val="20"/>
        </w:rPr>
      </w:pPr>
      <w:r>
        <w:rPr>
          <w:rFonts w:ascii="Times New Roman" w:hAnsi="Times New Roman"/>
          <w:i/>
          <w:sz w:val="20"/>
        </w:rPr>
        <w:t>PMA Pathway</w:t>
      </w:r>
      <w:r>
        <w:rPr>
          <w:rFonts w:ascii="Times New Roman" w:hAnsi="Times New Roman"/>
          <w:sz w:val="20"/>
        </w:rPr>
        <w:t xml:space="preserve">. Generally, a PMA must be supported by extensive data including, but not limited to, technical, preclinical, clinical trials, manufacturing and labeling to demonstrate to the FDAs satisfaction a reasonable assurance of the safety and effectiveness of the device for its intended use. After a PMA is sufficiently complete, the FDA will accept the application and begin an in-depth review of the submitted information and will generally conduct a pre-approval inspection of the manufacturing facility or facilities to ensure compliance. By statute, the FDA has 180 days to review the accepted application, although, generally, review of the application can take between one and three years, but it may take significantly longer. </w:t>
      </w:r>
    </w:p>
    <w:p>
      <w:pPr>
        <w:pStyle w:val="TextBody"/>
        <w:spacing w:before="180" w:after="0"/>
        <w:rPr>
          <w:rFonts w:ascii="Times New Roman" w:hAnsi="Times New Roman"/>
          <w:sz w:val="20"/>
        </w:rPr>
      </w:pPr>
      <w:r>
        <w:rPr>
          <w:rFonts w:ascii="Times New Roman" w:hAnsi="Times New Roman"/>
          <w:i/>
          <w:sz w:val="20"/>
        </w:rPr>
        <w:t>Clinical Trials.</w:t>
      </w:r>
      <w:r>
        <w:rPr>
          <w:rFonts w:ascii="Times New Roman" w:hAnsi="Times New Roman"/>
          <w:sz w:val="20"/>
        </w:rPr>
        <w:t xml:space="preserve"> Clinical trials are generally required to support a PMA application and are sometimes required for 510(k) clearance. </w:t>
      </w:r>
    </w:p>
    <w:p>
      <w:pPr>
        <w:pStyle w:val="TextBody"/>
        <w:spacing w:before="180" w:after="0"/>
        <w:rPr>
          <w:rFonts w:ascii="Times New Roman" w:hAnsi="Times New Roman"/>
          <w:sz w:val="20"/>
        </w:rPr>
      </w:pPr>
      <w:r>
        <w:rPr>
          <w:rFonts w:ascii="Times New Roman" w:hAnsi="Times New Roman"/>
          <w:i/>
          <w:sz w:val="20"/>
        </w:rPr>
        <w:t>Continuing Regulation.</w:t>
      </w:r>
      <w:r>
        <w:rPr>
          <w:rFonts w:ascii="Times New Roman" w:hAnsi="Times New Roman"/>
          <w:sz w:val="20"/>
        </w:rPr>
        <w:t xml:space="preserve"> After a device is placed on the market, numerous regulatory requirements apply to the manufacturer, or holder of a PMA approval. With respect to the Gencaro Test, we intend to seek a new or amended collaborative arrangement with a diagnostic company in which we could license them certain rights to perform the diagnostic test for patients with AF. As part of such arrangement, we will seek to have the diagnostic company take responsibility for compliance with the FDAs device approval and on-going regulatory requirements. </w:t>
      </w:r>
    </w:p>
    <w:p>
      <w:pPr>
        <w:pStyle w:val="TextBody"/>
        <w:spacing w:before="180" w:after="0"/>
        <w:rPr>
          <w:rFonts w:ascii="Times New Roman" w:hAnsi="Times New Roman"/>
          <w:sz w:val="20"/>
        </w:rPr>
      </w:pPr>
      <w:r>
        <w:rPr>
          <w:rFonts w:ascii="Times New Roman" w:hAnsi="Times New Roman"/>
          <w:i/>
          <w:sz w:val="20"/>
        </w:rPr>
        <w:t>International Marketing Approvals.</w:t>
      </w:r>
      <w:r>
        <w:rPr>
          <w:rFonts w:ascii="Times New Roman" w:hAnsi="Times New Roman"/>
          <w:sz w:val="20"/>
        </w:rPr>
        <w:t xml:space="preserve"> International sales of medical devices are subject to foreign government regulations, which vary substantially from country to country and are subject to change. The time required to obtain approval by a foreign country may be longer or shorter than that required for FDA clearance or approval, and the requirements may differ. </w:t>
      </w:r>
    </w:p>
    <w:p>
      <w:pPr>
        <w:pStyle w:val="TextBody"/>
        <w:spacing w:before="180" w:after="0"/>
        <w:rPr>
          <w:rFonts w:ascii="Times New Roman" w:hAnsi="Times New Roman"/>
          <w:sz w:val="20"/>
        </w:rPr>
      </w:pPr>
      <w:r>
        <w:rPr>
          <w:rFonts w:ascii="Times New Roman" w:hAnsi="Times New Roman"/>
          <w:i/>
          <w:sz w:val="20"/>
        </w:rPr>
        <w:t>Other Regulatory Requirements.</w:t>
      </w:r>
      <w:r>
        <w:rPr>
          <w:rFonts w:ascii="Times New Roman" w:hAnsi="Times New Roman"/>
          <w:sz w:val="20"/>
        </w:rPr>
        <w:t xml:space="preserve"> We are also subject to various federal, state and local laws, regulations and recommendations relating to safe working conditions, laboratory and manufacturing practices, the experimental use of animals and the use and disposal of hazardous or potentially hazardous substances, including radioactive compounds and infectious disease agents, used in connection with our work. The extent and character of governmental regulation that might result from future legislation or administrative action cannot be accurately predicted. </w:t>
      </w:r>
    </w:p>
    <w:p>
      <w:pPr>
        <w:pStyle w:val="TextBody"/>
        <w:spacing w:before="270" w:after="0"/>
        <w:rPr>
          <w:rFonts w:ascii="Times New Roman" w:hAnsi="Times New Roman"/>
          <w:b/>
          <w:i/>
          <w:sz w:val="20"/>
        </w:rPr>
      </w:pPr>
      <w:r>
        <w:rPr>
          <w:rFonts w:ascii="Times New Roman" w:hAnsi="Times New Roman"/>
          <w:b/>
          <w:i/>
          <w:sz w:val="20"/>
        </w:rPr>
        <w:t xml:space="preserve">Intellectual Property </w:t>
      </w:r>
    </w:p>
    <w:p>
      <w:pPr>
        <w:pStyle w:val="TextBody"/>
        <w:spacing w:before="90" w:after="0"/>
        <w:rPr>
          <w:rFonts w:ascii="Times New Roman" w:hAnsi="Times New Roman"/>
          <w:sz w:val="20"/>
        </w:rPr>
      </w:pPr>
      <w:r>
        <w:rPr>
          <w:rFonts w:ascii="Times New Roman" w:hAnsi="Times New Roman"/>
          <w:sz w:val="20"/>
        </w:rPr>
        <w:t xml:space="preserve">The future success of our business will partly depend on our ability to maintain market exclusivity in the United States and important international markets for Gencaro, and for other products or product candidates that we may acquire or develop. We will rely on statutory protection, patent protection, trade secrets, know-how, and in-licensing of technology rights to maintain protection for our products. </w:t>
      </w:r>
    </w:p>
    <w:p>
      <w:pPr>
        <w:pStyle w:val="TextBody"/>
        <w:spacing w:before="180" w:after="0"/>
        <w:rPr>
          <w:rFonts w:ascii="Times New Roman" w:hAnsi="Times New Roman"/>
          <w:sz w:val="20"/>
        </w:rPr>
      </w:pPr>
      <w:r>
        <w:rPr>
          <w:rFonts w:ascii="Times New Roman" w:hAnsi="Times New Roman"/>
          <w:sz w:val="20"/>
        </w:rPr>
        <w:t xml:space="preserve">We believe that both patent protection and data exclusivity statutes will give Gencaro market exclusivity in the U.S. and in major international markets. If approved by the FDA or international regulatory agencies, Gencaro will qualify as a New Chemical Entity, or NCE, as it has never received regulatory approval in any jurisdiction. As an NCE, Gencaro will enjoy market exclusivity in the United States and most international markets under data exclusivity statutes. These laws provide for an exclusivity period beginning from regulatory approval, during which any generic competitor is barred from submitting an application that relies on the data that has been submitted in connection with the approval of the NCE. In the U.S., the Hatch-Waxman Act provides for an initial period of four or five years from approval of the NCE, during which a generic application attempting to rely on the data submitted for the NCE cannot be filed with the FDA. This period can be extended under certain circumstances, and we believe that the maximum period of exclusivity under these provisions is seven and one-half years from FDA approval, as discussed below.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Many international markets have data exclusivity statutes that are analogous to Hatch-Waxman and often more protective. The analogous statute in the European Medicines Evaluation Agency will, in general, provide Gencaro with a minimum of ten years of protection before such a generic application may be approved. Protection under Hatch-Waxman and other data exclusivity statutes is sometimes considered superior to patent protection, as the generic cannot be marketed during the period of exclusivity, thus eliminating the need to initiate patent infringement litigation with its accompanying risks and costs. </w:t>
      </w:r>
    </w:p>
    <w:p>
      <w:pPr>
        <w:pStyle w:val="TextBody"/>
        <w:pBdr/>
        <w:spacing w:before="180" w:after="0"/>
        <w:rPr/>
      </w:pPr>
      <w:r>
        <w:rPr>
          <w:rFonts w:ascii="Times New Roman" w:hAnsi="Times New Roman"/>
          <w:sz w:val="20"/>
        </w:rPr>
        <w:t>In addition to protection under data exclusivity statutes, we believe that Gencaros patent portfolio provide alternative protection of market exclusivity. We have been granted patents in the United States and Europe that claim the use of Gencaro with the genetic polymorphisms of the ß</w:t>
      </w:r>
      <w:r>
        <w:rPr>
          <w:rFonts w:ascii="Times New Roman" w:hAnsi="Times New Roman"/>
          <w:sz w:val="14"/>
        </w:rPr>
        <w:t>1</w:t>
      </w:r>
      <w:r>
        <w:rPr/>
        <w:t xml:space="preserve"> </w:t>
      </w:r>
      <w:r>
        <w:rPr>
          <w:rFonts w:ascii="Times New Roman" w:hAnsi="Times New Roman"/>
          <w:sz w:val="20"/>
        </w:rPr>
        <w:t xml:space="preserve">and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receptors that predict Gencaro response. We believe that this patent strategy may effectively serve to exclude generic competition because of the threat of patent litigation. Consequently, if our patent strategy is successful, we believe that the possibility of generic competition with Gencaro will be significantly reduced or eliminated until at least the expiration of these patents, which would be no earlier than 2026 in the U.S and into 2025 in Europe. In addition, we believe that if Gencaro is approved, the Gencaro patents will be eligible for patent term extension based on our current clinical trial plans which, if granted in the U.S., may provide market exclusivity in the U.S. into 2029, and if granted in Europe could provide market exclusivity into 2030. We also believe that the initial period of statutory exclusivity for Gencaro in the U.S. may be extended to seven and one-half years from approval, under a special Hatch-Waxman provision that permits an automatic 30-month extension of the exclusivity period by pursuing litigation against any company attempting to enter the market with a generic for a drug that is covered by a composition of matter or method of use patent. </w:t>
      </w:r>
    </w:p>
    <w:p>
      <w:pPr>
        <w:pStyle w:val="TextBody"/>
        <w:spacing w:before="180" w:after="0"/>
        <w:rPr>
          <w:rFonts w:ascii="Times New Roman" w:hAnsi="Times New Roman"/>
          <w:sz w:val="20"/>
        </w:rPr>
      </w:pPr>
      <w:r>
        <w:rPr>
          <w:rFonts w:ascii="Times New Roman" w:hAnsi="Times New Roman"/>
          <w:sz w:val="20"/>
        </w:rPr>
        <w:t xml:space="preserve">We also own or have rights in a number of patents and patent applications relating to a number of pre-clinical and clinical candidate molecules, including rNAPc2. We estimate that patents for rNAPc2 covering use as a treatment for hemorrhagic fever viruses will expire no earlier than 2023. </w:t>
      </w:r>
    </w:p>
    <w:p>
      <w:pPr>
        <w:pStyle w:val="TextBody"/>
        <w:spacing w:before="180" w:after="0"/>
        <w:rPr>
          <w:rFonts w:ascii="Times New Roman" w:hAnsi="Times New Roman"/>
          <w:sz w:val="20"/>
        </w:rPr>
      </w:pPr>
      <w:r>
        <w:rPr>
          <w:rFonts w:ascii="Times New Roman" w:hAnsi="Times New Roman"/>
          <w:sz w:val="20"/>
        </w:rPr>
        <w:t xml:space="preserve">In some cases, certain of the U.S. patents may be entitled to an extension of their term and certain European patents may be entitled to supplemental protection in one or more countries in Europe. The length of any such extension, if an extension is granted, will vary by country. We cannot predict whether any such extensions will be granted. </w:t>
      </w:r>
    </w:p>
    <w:p>
      <w:pPr>
        <w:pStyle w:val="TextBody"/>
        <w:spacing w:before="270" w:after="0"/>
        <w:rPr>
          <w:rFonts w:ascii="Times New Roman" w:hAnsi="Times New Roman"/>
          <w:b/>
          <w:i/>
          <w:sz w:val="20"/>
        </w:rPr>
      </w:pPr>
      <w:r>
        <w:rPr>
          <w:rFonts w:ascii="Times New Roman" w:hAnsi="Times New Roman"/>
          <w:b/>
          <w:i/>
          <w:sz w:val="20"/>
        </w:rPr>
        <w:t xml:space="preserve">Employees </w:t>
      </w:r>
    </w:p>
    <w:p>
      <w:pPr>
        <w:pStyle w:val="TextBody"/>
        <w:spacing w:before="90" w:after="0"/>
        <w:rPr>
          <w:rFonts w:ascii="Times New Roman" w:hAnsi="Times New Roman"/>
          <w:sz w:val="20"/>
        </w:rPr>
      </w:pPr>
      <w:r>
        <w:rPr>
          <w:rFonts w:ascii="Times New Roman" w:hAnsi="Times New Roman"/>
          <w:sz w:val="20"/>
        </w:rPr>
        <w:t xml:space="preserve">As of December 31, 2011, we had 14 employees, of which 11 were full-time employees. Most of these employees operate out of the Broomfield, Colorado location while one operates from a home-based office in another state. None of our employees are represented by any collective bargaining unit. We believe that we maintain good relations with our employees. </w:t>
      </w:r>
    </w:p>
    <w:p>
      <w:pPr>
        <w:pStyle w:val="TextBody"/>
        <w:spacing w:before="270" w:after="0"/>
        <w:rPr>
          <w:rFonts w:ascii="Times New Roman" w:hAnsi="Times New Roman"/>
          <w:b/>
          <w:i/>
          <w:sz w:val="20"/>
        </w:rPr>
      </w:pPr>
      <w:r>
        <w:rPr>
          <w:rFonts w:ascii="Times New Roman" w:hAnsi="Times New Roman"/>
          <w:b/>
          <w:i/>
          <w:sz w:val="20"/>
        </w:rPr>
        <w:t xml:space="preserve">Corporate Information </w:t>
      </w:r>
    </w:p>
    <w:p>
      <w:pPr>
        <w:pStyle w:val="TextBody"/>
        <w:spacing w:before="90" w:after="0"/>
        <w:rPr>
          <w:rFonts w:ascii="Times New Roman" w:hAnsi="Times New Roman"/>
          <w:sz w:val="20"/>
        </w:rPr>
      </w:pPr>
      <w:r>
        <w:rPr>
          <w:rFonts w:ascii="Times New Roman" w:hAnsi="Times New Roman"/>
          <w:sz w:val="20"/>
        </w:rPr>
        <w:t xml:space="preserve">On January 27, 2009, we completed a business combination (the Merger) with ARCA Colorado in accordance with the terms of that Agreement and Plan of Merger and Reorganization, dated September 24, 2008, and amended on October 28, 2008 in which a wholly-owned subsidiary of Nuvelo, Inc. merged with and into ARCA Colorado, with ARCA Colorado continuing after the Merger as the surviving corporation and a wholly-owned subsidiary of Nuvelo, Inc. Immediately following the Merger, we changed our name from Nuvelo, Inc. to ARCA biopharma, Inc. Nuvelo was originally incorporated as Hyseq, Inc. in Illinois in 1992 and reincorporated in Nevada in 1993. On January 31, 2003, Nuvelo merged with Variagenics, Inc., a publicly traded Delaware corporation based in Massachusetts, and, in connection with the merger, changed its name to Nuvelo, Inc. On March 25, 2004, Nuvelo was reincorporated from Nevada to Delaware. On January 27, 2009, in connection with the Merger with ARCA Colorado described above, Nuvelo changed its name to ARCA biopharma, Inc. Our principal offices are located in Broomfield, Colorado.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file our annual reports on Form 10-K, quarterly reports on Form 10-Q and current reports on Form 8-K pursuant to Section 13(a) or 15(d) of the Securities Exchange Act of 1934 electronically with the SEC. The public may read or copy any materials that have been filed with the SEC at the SECs Public Reference Rooms at 100 F Street, N.E., Washington, D.C. 20549 on official business days during the hours of 10:00 a.m. and 3:00 p.m.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http://www.sec.gov. </w:t>
      </w:r>
    </w:p>
    <w:p>
      <w:pPr>
        <w:pStyle w:val="TextBody"/>
        <w:spacing w:before="180" w:after="0"/>
        <w:rPr>
          <w:rFonts w:ascii="Times New Roman" w:hAnsi="Times New Roman"/>
          <w:sz w:val="20"/>
        </w:rPr>
      </w:pPr>
      <w:r>
        <w:rPr>
          <w:rFonts w:ascii="Times New Roman" w:hAnsi="Times New Roman"/>
          <w:sz w:val="20"/>
        </w:rPr>
        <w:t xml:space="preserve">You may obtain a free copy of our annual reports on Form 10-K, quarterly reports on Form 10-Q, current reports on Form 8-K and amendments to those reports on our website at http://www.arcabiopharma.com on the earliest practicable date following the filing with the SEC or by contacting the Investor Relations Department at our corporate office by calling (720) 940-2200. Information found on our website is not incorporated by reference into this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4" w:name="tx280818_2"/>
            <w:bookmarkEnd w:id="4"/>
            <w:r>
              <w:rPr>
                <w:rFonts w:ascii="Times New Roman" w:hAnsi="Times New Roman"/>
                <w:b/>
                <w:sz w:val="20"/>
              </w:rPr>
              <w:t>Item 1A.</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Risk Factors</w:t>
            </w:r>
            <w:r>
              <w:rPr>
                <w:rFonts w:ascii="Times New Roman" w:hAnsi="Times New Roman"/>
                <w:sz w:val="20"/>
              </w:rPr>
              <w:t xml:space="preserve"> </w:t>
            </w:r>
          </w:p>
        </w:tc>
      </w:tr>
    </w:tbl>
    <w:p>
      <w:pPr>
        <w:pStyle w:val="TextBody"/>
        <w:spacing w:before="90" w:after="0"/>
        <w:rPr>
          <w:rFonts w:ascii="Times New Roman" w:hAnsi="Times New Roman"/>
          <w:i/>
          <w:sz w:val="20"/>
        </w:rPr>
      </w:pPr>
      <w:r>
        <w:rPr>
          <w:rFonts w:ascii="Times New Roman" w:hAnsi="Times New Roman"/>
          <w:i/>
          <w:sz w:val="20"/>
        </w:rPr>
        <w:t xml:space="preserve">An investment in ARCAs securities involves certain risks, including those set forth below and elsewhere in this report. In addition to the risks set forth below and elsewhere in this report, other risks and uncertainties not known to ARCA, that are beyond its control or that ARCA deems to be immaterial may also materially adversely affect ARCAs business operations. You should carefully consider the risks described below as well as other information and data included in this report. </w:t>
      </w:r>
    </w:p>
    <w:p>
      <w:pPr>
        <w:pStyle w:val="TextBody"/>
        <w:spacing w:before="270" w:after="0"/>
        <w:rPr>
          <w:rFonts w:ascii="Times New Roman" w:hAnsi="Times New Roman"/>
          <w:b/>
          <w:sz w:val="20"/>
        </w:rPr>
      </w:pPr>
      <w:r>
        <w:rPr>
          <w:rFonts w:ascii="Times New Roman" w:hAnsi="Times New Roman"/>
          <w:b/>
          <w:sz w:val="20"/>
        </w:rPr>
        <w:t xml:space="preserve">Risks Related to Our Business and Financial Condition </w:t>
      </w:r>
    </w:p>
    <w:p>
      <w:pPr>
        <w:pStyle w:val="TextBody"/>
        <w:spacing w:before="90" w:after="0"/>
        <w:rPr>
          <w:rFonts w:ascii="Times New Roman" w:hAnsi="Times New Roman"/>
          <w:b/>
          <w:i/>
          <w:sz w:val="20"/>
        </w:rPr>
      </w:pPr>
      <w:r>
        <w:rPr>
          <w:rFonts w:ascii="Times New Roman" w:hAnsi="Times New Roman"/>
          <w:b/>
          <w:i/>
          <w:sz w:val="20"/>
        </w:rPr>
        <w:t xml:space="preserve">Our management and our independent registered public accountants, in their report on our financial statements as of and for the year ended December 31, 2011, have concluded that due to our need for additional capital, and the uncertainties surrounding our ability to raise such funding, substantial doubt exists as to our ability to continue as a going concern. </w:t>
      </w:r>
    </w:p>
    <w:p>
      <w:pPr>
        <w:pStyle w:val="TextBody"/>
        <w:spacing w:before="90" w:after="0"/>
        <w:rPr>
          <w:rFonts w:ascii="Times New Roman" w:hAnsi="Times New Roman"/>
          <w:sz w:val="20"/>
        </w:rPr>
      </w:pPr>
      <w:r>
        <w:rPr>
          <w:rFonts w:ascii="Times New Roman" w:hAnsi="Times New Roman"/>
          <w:sz w:val="20"/>
        </w:rPr>
        <w:t xml:space="preserve">Our audited financial statements for the fiscal year ended December 31, 2011 were prepared assuming that we will continue as a going concern. The going concern basis of presentation assumes that we will continue in operation for the foreseeable future and will be able to realize our assets and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Our management and our independent registered public accountants have concluded that due to our need for additional capital, and the uncertainties surrounding our ability to raise such funding, substantial doubt exists as to our ability to continue as a going concern. We may be forced to reduce our operating expenses and raise additional funds to meet our working capital needs, principally through the additional sales of our securities or debt financings. However, we cannot guarantee that will be able to obtain sufficient additional funds when needed or that such funds, if available, will be obtainable on terms satisfactory to us. If we are unable to raise sufficient additional capital or complete a strategic transaction, we may be unable to continue to fund our operations, develop Gencaro or our other product candidates, or realize value from our assets and discharge our liabilities in the normal course of business. These uncertainties raise substantial doubt about our ability to continue as a going concern. If we become unable to continue as a going concern, we may have to liquidate our assets, and might realize significantly less than the values at which they are carried on our financial statements, and stockholders may lose all or part of their investment in our common stock. </w:t>
      </w:r>
    </w:p>
    <w:p>
      <w:pPr>
        <w:pStyle w:val="TextBody"/>
        <w:spacing w:before="270" w:after="0"/>
        <w:rPr>
          <w:rFonts w:ascii="Times New Roman" w:hAnsi="Times New Roman"/>
          <w:b/>
          <w:i/>
          <w:sz w:val="20"/>
        </w:rPr>
      </w:pPr>
      <w:r>
        <w:rPr>
          <w:rFonts w:ascii="Times New Roman" w:hAnsi="Times New Roman"/>
          <w:b/>
          <w:i/>
          <w:sz w:val="20"/>
        </w:rPr>
        <w:t xml:space="preserve">We will need to raise substantial additional funds through the public or private debt and equity securities, from government funding or complete one or more strategic transactions, to continue development of Gencaro. If we are unable to raise such financing or complete such a transaction, we may not be able to continue operations. </w:t>
      </w:r>
    </w:p>
    <w:p>
      <w:pPr>
        <w:pStyle w:val="TextBody"/>
        <w:spacing w:before="90" w:after="0"/>
        <w:rPr>
          <w:rFonts w:ascii="Times New Roman" w:hAnsi="Times New Roman"/>
          <w:sz w:val="20"/>
        </w:rPr>
      </w:pPr>
      <w:r>
        <w:rPr>
          <w:rFonts w:ascii="Times New Roman" w:hAnsi="Times New Roman"/>
          <w:sz w:val="20"/>
        </w:rPr>
        <w:t xml:space="preserve">In light of the expected development timeline to potentially obtain FDA approval for Gencaro, if at all, the substantial additional costs associated with the development of Gencaro, including the costs associated with the planned AF clinical trial, the substantial cost of commercializing Gencaro, if it is approved, we will need to raise substantial additional funding through public or private debt or equity transactions or a strategic combination or partnership, or government funding. If we are delayed in obtaining funding or are unable to complete a strategic transaction, we may discontinue our development activities on Gencaro or discontinue our operations. Even if we are able to fund continued development and Gencaro is approved, we expect that we will need to complete a strategic transaction or raise substantial additional funding through public or private debt or equity securities to successfully commercialize Gencaro. </w:t>
      </w:r>
    </w:p>
    <w:p>
      <w:pPr>
        <w:pStyle w:val="TextBody"/>
        <w:spacing w:before="180" w:after="0"/>
        <w:rPr>
          <w:rFonts w:ascii="Times New Roman" w:hAnsi="Times New Roman"/>
          <w:sz w:val="20"/>
        </w:rPr>
      </w:pPr>
      <w:r>
        <w:rPr>
          <w:rFonts w:ascii="Times New Roman" w:hAnsi="Times New Roman"/>
          <w:sz w:val="20"/>
        </w:rPr>
        <w:t xml:space="preserve">We currently believe our cash and cash equivalents balance as of December 31, 2011 will be sufficient to fund our operations, at our current cost structure through September 30, 2012. As a result of the significant additional required development of Gencaro, including the additional clinical trials, we may not be able to raise sufficient capital on acceptable terms, or at all, to continue development of Gencaro or to continue operation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may not be able to execute any strategic transaction. We are unable to assert that our current cash and cash equivalents are sufficient to fund operations beyond that date, and as a result, there is substantial doubt about our ability to continue as a going concern beyond September 30, 2012. Changing circumstances may cause us to consume capital significantly faster or slower than we currently anticipate. We have based these estimates on assumptions that may prove to be wrong, and we could exhaust our available financial resources sooner than we currently anticipate. </w:t>
      </w:r>
    </w:p>
    <w:p>
      <w:pPr>
        <w:pStyle w:val="TextBody"/>
        <w:spacing w:before="180" w:after="0"/>
        <w:rPr>
          <w:rFonts w:ascii="Times New Roman" w:hAnsi="Times New Roman"/>
          <w:sz w:val="20"/>
        </w:rPr>
      </w:pPr>
      <w:r>
        <w:rPr>
          <w:rFonts w:ascii="Times New Roman" w:hAnsi="Times New Roman"/>
          <w:sz w:val="20"/>
        </w:rPr>
        <w:t xml:space="preserve">Our liquidity, and our ability to raise additional capital or complete any strategic transaction, depends on a number of factors, including, but not limited to,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costs and timing for additional clinical trials in order to gain possible FDA approval for Gencaro;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market price of our stock and the availability and cost of additional equity capital from existing and potential new investors;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retain the listing of our common stock on the Nasdaq Capital Market;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and industry conditions affecting the availability and cost of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potential receipt of government or third party funding to further develop Gencaro or rNAPc2;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control costs associated with our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costs of filing, prosecuting, defending and enforcing any patent claims and other intellectual property rights;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terms and conditions of our existing collaborative and licensing agreements. </w:t>
            </w:r>
          </w:p>
        </w:tc>
      </w:tr>
    </w:tbl>
    <w:p>
      <w:pPr>
        <w:pStyle w:val="TextBody"/>
        <w:spacing w:before="180" w:after="0"/>
        <w:rPr>
          <w:rFonts w:ascii="Times New Roman" w:hAnsi="Times New Roman"/>
          <w:sz w:val="20"/>
        </w:rPr>
      </w:pPr>
      <w:r>
        <w:rPr>
          <w:rFonts w:ascii="Times New Roman" w:hAnsi="Times New Roman"/>
          <w:sz w:val="20"/>
        </w:rPr>
        <w:t xml:space="preserve">The sale of additional equity or convertible debt securities would likely result in substantial dilution to our stockholders. If we raise additional funds through the incurrence of indebtedness, the obligations related to such indebtedness would be senior to rights of holders of our capital stock and could contain covenants that would restrict our operations. We also cannot predict what consideration might be available, if any, to us or our stockholders, in connection with any strategic transaction. Should strategic alternatives or additional capital not be available to us in the near term, or not be available on acceptable terms, we may be unable to realize value from our assets and discharge our liabilities in the normal course of business which may, among other alternatives, cause us to further delay, substantially reduce or discontinue operational activities to conserve our cash resources. </w:t>
      </w:r>
    </w:p>
    <w:p>
      <w:pPr>
        <w:pStyle w:val="TextBody"/>
        <w:spacing w:before="270" w:after="0"/>
        <w:rPr>
          <w:rFonts w:ascii="Times New Roman" w:hAnsi="Times New Roman"/>
          <w:b/>
          <w:i/>
          <w:sz w:val="20"/>
        </w:rPr>
      </w:pPr>
      <w:r>
        <w:rPr>
          <w:rFonts w:ascii="Times New Roman" w:hAnsi="Times New Roman"/>
          <w:b/>
          <w:i/>
          <w:sz w:val="20"/>
        </w:rPr>
        <w:t xml:space="preserve">If we are not able to maintain the requirements for listing on the Nasdaq Capital Market, we could be delisted, which could have a materially adverse effect on our ability to raise additional funds as well as the price and liquidity of our common stock. </w:t>
      </w:r>
    </w:p>
    <w:p>
      <w:pPr>
        <w:pStyle w:val="TextBody"/>
        <w:spacing w:before="90" w:after="0"/>
        <w:rPr>
          <w:rFonts w:ascii="Times New Roman" w:hAnsi="Times New Roman"/>
          <w:sz w:val="20"/>
        </w:rPr>
      </w:pPr>
      <w:r>
        <w:rPr>
          <w:rFonts w:ascii="Times New Roman" w:hAnsi="Times New Roman"/>
          <w:sz w:val="20"/>
        </w:rPr>
        <w:t xml:space="preserve">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March 23, 2011, the closing bid price of our common stock was $0.95 the total market value of our publicly held shares of our common stock (excluding shares held by our executive officers, directors and 10% or more stockholders) was approximately $9.7 million and the total market value of our listed securities was approximately $11.3 million. As of December 31, 2011, we had stockholders equity of $5.7 million. In addition, as recently as March 7, 2012 the closing bid price of our common stock has been as low as $0.91 per share. As of March 23, 2012 our stock has traded below the $1.00 threshold for 18 consecutive trading days. If the closing bid price of our common stock is below $1.00 per share for 30 consecutive business days, we could be subject to delisting from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NASDAQ Capital Market may result in a decrease in the trading price of our common stock, lessen interest by institutions and individuals in investing in our common stock, make it more difficult to obtain analyst coverage and make it more difficult for us to raise capital in the future. </w:t>
      </w:r>
    </w:p>
    <w:p>
      <w:pPr>
        <w:pStyle w:val="TextBody"/>
        <w:spacing w:before="270" w:after="0"/>
        <w:rPr>
          <w:rFonts w:ascii="Times New Roman" w:hAnsi="Times New Roman"/>
          <w:b/>
          <w:i/>
          <w:sz w:val="20"/>
        </w:rPr>
      </w:pPr>
      <w:r>
        <w:rPr>
          <w:rFonts w:ascii="Times New Roman" w:hAnsi="Times New Roman"/>
          <w:b/>
          <w:i/>
          <w:sz w:val="20"/>
        </w:rPr>
        <w:t xml:space="preserve">Our failure to enter into a strategic transaction may materially and adversely affect our business. </w:t>
      </w:r>
    </w:p>
    <w:p>
      <w:pPr>
        <w:pStyle w:val="TextBody"/>
        <w:spacing w:before="90" w:after="0"/>
        <w:rPr>
          <w:rFonts w:ascii="Times New Roman" w:hAnsi="Times New Roman"/>
          <w:sz w:val="20"/>
        </w:rPr>
      </w:pPr>
      <w:r>
        <w:rPr>
          <w:rFonts w:ascii="Times New Roman" w:hAnsi="Times New Roman"/>
          <w:sz w:val="20"/>
        </w:rPr>
        <w:t xml:space="preserve">Unless we are able to raise substantial additional funding through other means, we will need to complete a strategic transaction to continue the development of Gencaro or our other operations. The strategic transactions that we may consider include a potential combination or partnership. Our board of directors and management team has and will continue to devote substantial time and resources to the consideration and implementation of any such strategic transaction. In addition, conditions in the financial markets may lead to an increased number of biotechnology companies that are also seeking to enter into strategic transactions, which may limit our ability to negotiate favorable terms for any such transaction. Further, our current employees do not have experience in the strategic transaction process, and our previous efforts to enter into a strategic transaction have not been successful. As a result of these and other factors, there is substantial risk that we may not be able to complete a strategic transaction on favorable terms, or at all. The failure to complete a strategic transaction may materially and adversely affect our business. </w:t>
      </w:r>
    </w:p>
    <w:p>
      <w:pPr>
        <w:pStyle w:val="TextBody"/>
        <w:spacing w:before="270" w:after="0"/>
        <w:rPr>
          <w:rFonts w:ascii="Times New Roman" w:hAnsi="Times New Roman"/>
          <w:b/>
          <w:i/>
          <w:sz w:val="20"/>
        </w:rPr>
      </w:pPr>
      <w:r>
        <w:rPr>
          <w:rFonts w:ascii="Times New Roman" w:hAnsi="Times New Roman"/>
          <w:b/>
          <w:i/>
          <w:sz w:val="20"/>
        </w:rPr>
        <w:t xml:space="preserve">We may be limited in our ability to access sufficient funding through a private equity or convertible debt offering. </w:t>
      </w:r>
    </w:p>
    <w:p>
      <w:pPr>
        <w:pStyle w:val="TextBody"/>
        <w:spacing w:before="90" w:after="0"/>
        <w:rPr>
          <w:rFonts w:ascii="Times New Roman" w:hAnsi="Times New Roman"/>
          <w:sz w:val="20"/>
        </w:rPr>
      </w:pPr>
      <w:r>
        <w:rPr>
          <w:rFonts w:ascii="Times New Roman" w:hAnsi="Times New Roman"/>
          <w:sz w:val="20"/>
        </w:rPr>
        <w:t xml:space="preserve">Nasdaq rules impose restrictions on our ability to raise funds through a private offering of our common stock, convertible debt or similar instruments without obtaining stockholder approval. Under Nasdaq rules, an offering of more than 20% of our total shares outstanding for less than the greater of book or market value requires stockholder approval unless the offering qualifies as a public offering for purposes of the Nasdaq rules. As of December 31, 2011, we had 12,182,999 shares of common stock outstanding, 20% of which is 2,436,599 shares. To the extent we seek to raise funds through a private offering of stock, convertible debt or similar instruments, we are limited in how much funding we could raise privately without requiring a stockholder vote. </w:t>
      </w:r>
    </w:p>
    <w:p>
      <w:pPr>
        <w:pStyle w:val="TextBody"/>
        <w:spacing w:before="180" w:after="0"/>
        <w:rPr>
          <w:rFonts w:ascii="Times New Roman" w:hAnsi="Times New Roman"/>
          <w:sz w:val="20"/>
        </w:rPr>
      </w:pPr>
      <w:r>
        <w:rPr>
          <w:rFonts w:ascii="Times New Roman" w:hAnsi="Times New Roman"/>
          <w:sz w:val="20"/>
        </w:rPr>
        <w:t xml:space="preserve">In addition, we are currently subject to certain contractual rights of investors arising from our public and private equity financing transactions that limit the nature and price of future public and private financing transactions that we may effect. For example, on April 18, 2011, we entered into separate subscription agreements with certain institutional investors in connection with a registered direct public offering, pursuant to which we sold shares of our common stock and warrants to purchase shares of our common stock to the investors. In connection with this transaction, we agreed that, subject to certain exceptions, we would not, within the three year period following the closing of the offering, while the warrants are outstanding, effect or enter into an agreement to effect any issuance of common stock or securities convertible into, exercisable for or exchangeable for common stock in a variable rate transaction, which means a transaction in which we issue or sell any convertible securities either (A) at a conversion price, exercise price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the convertible securities or upon the occurrence of the specified or contingent events directly or indirectly related to our business or the market for our common stock. In addition, we agreed that, subject to certain exceptions, if we issue securities within one year following the closing of the offering, each investor would have the right to purchase its pro rata share of a specified proportion of the securities in the future offering on the same terms, conditions and price provided for in the proposed issuance of securities. In connection with this transaction we were also restricted from issuing or selling shares of our common stock or securities convertible into our common stock for 90 days following the transaction. </w:t>
      </w:r>
    </w:p>
    <w:p>
      <w:pPr>
        <w:pStyle w:val="TextBody"/>
        <w:spacing w:before="180" w:after="0"/>
        <w:rPr>
          <w:rFonts w:ascii="Times New Roman" w:hAnsi="Times New Roman"/>
          <w:sz w:val="20"/>
        </w:rPr>
      </w:pPr>
      <w:r>
        <w:rPr>
          <w:rFonts w:ascii="Times New Roman" w:hAnsi="Times New Roman"/>
          <w:sz w:val="20"/>
        </w:rPr>
        <w:t xml:space="preserve">Similarly, on December 21, 2011, we entered into separate subscription agreements with various institutional investors in connection with a private placement of our common stock and warrants. We granted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these investors certain registration rights with respect to the shares of common stock (including common stock issuable upon exercise of the warrants). In connection with this transaction, we agreed that, subject to certain exceptions, we would not, within the three year period following the closing of the offering, enter into any variable rate transaction. In connection with this transaction we were also restricted from issuing or selling shares of our common stock or securities convertible into our common stock for 45 days following the transaction. </w:t>
      </w:r>
    </w:p>
    <w:p>
      <w:pPr>
        <w:pStyle w:val="TextBody"/>
        <w:spacing w:before="180" w:after="0"/>
        <w:rPr>
          <w:rFonts w:ascii="Times New Roman" w:hAnsi="Times New Roman"/>
          <w:sz w:val="20"/>
        </w:rPr>
      </w:pPr>
      <w:r>
        <w:rPr>
          <w:rFonts w:ascii="Times New Roman" w:hAnsi="Times New Roman"/>
          <w:sz w:val="20"/>
        </w:rPr>
        <w:t xml:space="preserve">The restrictions imposed by the terms of these offerings, and that could be imposed in future offerings, may limit our access to capital on agreeable terms and delay or make impossible certain otherwise available equity financing opportunities and could severely restrict our access to the capital necessary to conduct our business. </w:t>
      </w:r>
    </w:p>
    <w:p>
      <w:pPr>
        <w:pStyle w:val="TextBody"/>
        <w:spacing w:before="270" w:after="0"/>
        <w:rPr>
          <w:rFonts w:ascii="Times New Roman" w:hAnsi="Times New Roman"/>
          <w:b/>
          <w:i/>
          <w:sz w:val="20"/>
        </w:rPr>
      </w:pPr>
      <w:r>
        <w:rPr>
          <w:rFonts w:ascii="Times New Roman" w:hAnsi="Times New Roman"/>
          <w:b/>
          <w:i/>
          <w:sz w:val="20"/>
        </w:rPr>
        <w:t xml:space="preserve">If we are not able to successfully develop, obtain FDA approval for and provide for the commercialization of Gencaro in a timely manner, we may not be able to continue our business operations. </w:t>
      </w:r>
    </w:p>
    <w:p>
      <w:pPr>
        <w:pStyle w:val="TextBody"/>
        <w:spacing w:before="90" w:after="0"/>
        <w:rPr>
          <w:rFonts w:ascii="Times New Roman" w:hAnsi="Times New Roman"/>
          <w:sz w:val="20"/>
        </w:rPr>
      </w:pPr>
      <w:r>
        <w:rPr>
          <w:rFonts w:ascii="Times New Roman" w:hAnsi="Times New Roman"/>
          <w:sz w:val="20"/>
        </w:rPr>
        <w:t xml:space="preserve">We currently have no products that have received regulatory approval for commercial sale. The process to develop, obtain regulatory approval for and commercialize potential product candidates is long, complex and costly. In 2008 we submitted and the FDA accepted our NDA filing for Gencaro for the treatment of chronic HF. In 2009 the FDA issued a CRL in which the FDA stated that it could not approve the Gencaro NDA in its current form, and specified actions required for approval of the NDA, including conducting an additional Phase 3 clinical trial of Gencaro in patients with HF. In 2010 we reached agreement with the FDA, through the SPA process, on the design of a clinical trial to assess the safety and efficacy of Gencaro in approximately 3,200 patients with chronic HF who have the genotype that appears to respond most favorably to Gencaro. We plan to conduct a clinical study of Gencaro in approximately 200-400 HF patients with AF Clinical trials are typically lengthy, complex and expensive and we do not currently have the resources to fund such a trial. </w:t>
      </w:r>
    </w:p>
    <w:p>
      <w:pPr>
        <w:pStyle w:val="TextBody"/>
        <w:spacing w:before="180" w:after="0"/>
        <w:rPr>
          <w:rFonts w:ascii="Times New Roman" w:hAnsi="Times New Roman"/>
          <w:sz w:val="20"/>
        </w:rPr>
      </w:pPr>
      <w:r>
        <w:rPr>
          <w:rFonts w:ascii="Times New Roman" w:hAnsi="Times New Roman"/>
          <w:sz w:val="20"/>
        </w:rPr>
        <w:t xml:space="preserve">Failure to demonstrate that a product candidate, particularly Gencaro, is safe and effective, or significant delays in demonstrating such safety and efficacy, would adversely affect our business. Failure to obtain marketing approval of Gencaro from appropriate regulatory authorities, or significant delays in obtaining such approval, would also adversely affect our business and could, among other things, preclude us from completing a strategic transaction or obtaining additional financing necessary to continue as a going concern. </w:t>
      </w:r>
    </w:p>
    <w:p>
      <w:pPr>
        <w:pStyle w:val="TextBody"/>
        <w:spacing w:before="180" w:after="0"/>
        <w:rPr>
          <w:rFonts w:ascii="Times New Roman" w:hAnsi="Times New Roman"/>
          <w:sz w:val="20"/>
        </w:rPr>
      </w:pPr>
      <w:r>
        <w:rPr>
          <w:rFonts w:ascii="Times New Roman" w:hAnsi="Times New Roman"/>
          <w:sz w:val="20"/>
        </w:rPr>
        <w:t xml:space="preserve">Even if approved for sale, a product candidate must be successfully commercialized to generate value. We do not currently have the capital resources or management expertise to commercialize Gencaro and, as a result, will need to complete a strategic transaction, or, alternatively, raise substantial additional funds to enable commercialization of Gencaro, if it is approved. Failure to successfully provide for the commercialization of Gencaro, if it is approved, would damage our business. </w:t>
      </w:r>
    </w:p>
    <w:p>
      <w:pPr>
        <w:pStyle w:val="TextBody"/>
        <w:spacing w:before="270" w:after="0"/>
        <w:rPr>
          <w:rFonts w:ascii="Times New Roman" w:hAnsi="Times New Roman"/>
          <w:b/>
          <w:i/>
          <w:sz w:val="20"/>
        </w:rPr>
      </w:pPr>
      <w:r>
        <w:rPr>
          <w:rFonts w:ascii="Times New Roman" w:hAnsi="Times New Roman"/>
          <w:b/>
          <w:i/>
          <w:sz w:val="20"/>
        </w:rPr>
        <w:t xml:space="preserve">Our clinical trials for our product candidates may not yield results that will enable us to further develop our products and obtain the regulatory approvals necessary to sell them. </w:t>
      </w:r>
    </w:p>
    <w:p>
      <w:pPr>
        <w:pStyle w:val="TextBody"/>
        <w:spacing w:before="90" w:after="0"/>
        <w:rPr>
          <w:rFonts w:ascii="Times New Roman" w:hAnsi="Times New Roman"/>
          <w:sz w:val="20"/>
        </w:rPr>
      </w:pPr>
      <w:r>
        <w:rPr>
          <w:rFonts w:ascii="Times New Roman" w:hAnsi="Times New Roman"/>
          <w:sz w:val="20"/>
        </w:rPr>
        <w:t xml:space="preserve">We will only receive regulatory approval for our product candidates if we can demonstrate in carefully designed and conducted clinical trials that the product candidate is safe and effective. We do not know whether any future clinical trials, including the planned AF clinical trial for Gencaro, will demonstrate sufficient safety and efficacy to obtain the requisite regulatory approvals or will result in marketable products. Clinical trials are lengthy, complex and expensive processes with uncertain results. We have spent, and expect to continue to spend, significant amounts of time and money in the clinical development of our product candidates. We have never conducted a Phase 2 or Phase 3 clinical trial and do not currently have sufficient staff with the requisite experience to do so, and we therefore expect that we will have to rely on contract research organizations to conduct certain of our clinical trials. While certain of our employees have experience in designing and administering clinical trials, these employees have no such experience since being with us. </w:t>
      </w:r>
    </w:p>
    <w:p>
      <w:pPr>
        <w:pStyle w:val="TextBody"/>
        <w:spacing w:before="180" w:after="0"/>
        <w:rPr>
          <w:rFonts w:ascii="Times New Roman" w:hAnsi="Times New Roman"/>
          <w:sz w:val="20"/>
        </w:rPr>
      </w:pPr>
      <w:r>
        <w:rPr>
          <w:rFonts w:ascii="Times New Roman" w:hAnsi="Times New Roman"/>
          <w:sz w:val="20"/>
        </w:rPr>
        <w:t xml:space="preserve">The results we obtain in preclinical testing and early clinical trials may not be predictive of results that are obtained in later studies. We may suffer significant setbacks in advanced clinical trials, even after seeing promising results in earlier studies. Based on results at any stage of clinical trials, we may decide to repeat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redesign a trial or discontinue development of one or more of our product candidates. If we fail to adequately demonstrate the safety and efficacy of our products under development, we will not be able to obtain the required regulatory approvals to commercialize our product candidates, and our business, results of operations and financial condition would be materially adversely affected. </w:t>
      </w:r>
    </w:p>
    <w:p>
      <w:pPr>
        <w:pStyle w:val="TextBody"/>
        <w:spacing w:before="180" w:after="0"/>
        <w:rPr>
          <w:rFonts w:ascii="Times New Roman" w:hAnsi="Times New Roman"/>
          <w:sz w:val="20"/>
        </w:rPr>
      </w:pPr>
      <w:r>
        <w:rPr>
          <w:rFonts w:ascii="Times New Roman" w:hAnsi="Times New Roman"/>
          <w:sz w:val="20"/>
        </w:rPr>
        <w:t xml:space="preserve">Administering our product candidates to humans may produce undesirable side effects. These side effects could interrupt, delay or halt clinical trials of our product candidates and could result in the FDA or other regulatory authorities denying approval of our product candidates for any or all targeted indications. </w:t>
      </w:r>
    </w:p>
    <w:p>
      <w:pPr>
        <w:pStyle w:val="TextBody"/>
        <w:spacing w:before="180" w:after="0"/>
        <w:rPr>
          <w:rFonts w:ascii="Times New Roman" w:hAnsi="Times New Roman"/>
          <w:sz w:val="20"/>
        </w:rPr>
      </w:pPr>
      <w:r>
        <w:rPr>
          <w:rFonts w:ascii="Times New Roman" w:hAnsi="Times New Roman"/>
          <w:sz w:val="20"/>
        </w:rPr>
        <w:t xml:space="preserve">If clinical trials for a product candidate are unsuccessful, we will be unable to commercialize the product candidate. If one or more of our clinical trials are delayed, we will be unable to meet our anticipated development timelines. Either circumstance could cause the market price of our common stock to decline. </w:t>
      </w:r>
    </w:p>
    <w:p>
      <w:pPr>
        <w:pStyle w:val="TextBody"/>
        <w:spacing w:before="270" w:after="0"/>
        <w:rPr>
          <w:rFonts w:ascii="Times New Roman" w:hAnsi="Times New Roman"/>
          <w:b/>
          <w:i/>
          <w:sz w:val="20"/>
        </w:rPr>
      </w:pPr>
      <w:r>
        <w:rPr>
          <w:rFonts w:ascii="Times New Roman" w:hAnsi="Times New Roman"/>
          <w:b/>
          <w:i/>
          <w:sz w:val="20"/>
        </w:rPr>
        <w:t xml:space="preserve">We expect to rely on contract research organizations to conduct clinical trials, and as a result, will be unable to directly control the timing, conduct and expense of clinical trials. </w:t>
      </w:r>
    </w:p>
    <w:p>
      <w:pPr>
        <w:pStyle w:val="TextBody"/>
        <w:spacing w:before="90" w:after="0"/>
        <w:rPr>
          <w:rFonts w:ascii="Times New Roman" w:hAnsi="Times New Roman"/>
          <w:sz w:val="20"/>
        </w:rPr>
      </w:pPr>
      <w:r>
        <w:rPr>
          <w:rFonts w:ascii="Times New Roman" w:hAnsi="Times New Roman"/>
          <w:sz w:val="20"/>
        </w:rPr>
        <w:t xml:space="preserve">We expect that we, or any strategic partners, will rely primarily on third parties to conduct clinical trials, including the Gencaro AF clinical trial that we plan to conduct. As a result, we will have less control over the conduct of the clinical trials, the timing and completion of the trials, the required reporting of adverse events and the management of data developed through the trials than would be the case if we were relying entirely upon our own staff. Communicating with outside parties can also be challenging, potentially leading to mistakes as well as difficulties in coordinating activities. Outside parties may have staffing difficulties, may undergo changes in priorities or may become financially distressed, adversely affecting their willingness or ability to conduct our trials. We may experience unexpected cost increases that are beyond our control. Problems with the timeliness or quality of the work of a contract research organization may lead us or any strategic partner to seek to terminate the relationship and use an alternative service provider. However, making this change may be costly and may delay ongoing trials, and contractual restrictions may make such a change difficult or impossible. Additionally, it may be impossible to find a replacement organization that can conduct clinical trials in an acceptable manner and at an acceptable cost. </w:t>
      </w:r>
    </w:p>
    <w:p>
      <w:pPr>
        <w:pStyle w:val="TextBody"/>
        <w:spacing w:before="180" w:after="0"/>
        <w:rPr>
          <w:rFonts w:ascii="Times New Roman" w:hAnsi="Times New Roman"/>
          <w:sz w:val="20"/>
        </w:rPr>
      </w:pPr>
      <w:r>
        <w:rPr>
          <w:rFonts w:ascii="Times New Roman" w:hAnsi="Times New Roman"/>
          <w:sz w:val="20"/>
        </w:rPr>
        <w:t xml:space="preserve">Even if we do use a contract research organization to conduct clinical trials, we will have to devote substantial resources and rely on the expertise of our employees to manage the work being done by the contract research organization. We have never conducted a clinical trial and do not currently have sufficient staff with the requisite experience to do so. The inability of our current staff to adequately manage any contract research organization that we hire may exacerbate the risks associated with relying on a contract research organization. </w:t>
      </w:r>
    </w:p>
    <w:p>
      <w:pPr>
        <w:pStyle w:val="TextBody"/>
        <w:spacing w:before="270" w:after="0"/>
        <w:rPr>
          <w:rFonts w:ascii="Times New Roman" w:hAnsi="Times New Roman"/>
          <w:b/>
          <w:i/>
          <w:sz w:val="20"/>
        </w:rPr>
      </w:pPr>
      <w:r>
        <w:rPr>
          <w:rFonts w:ascii="Times New Roman" w:hAnsi="Times New Roman"/>
          <w:b/>
          <w:i/>
          <w:sz w:val="20"/>
        </w:rPr>
        <w:t xml:space="preserve">If we encounter difficulties enrolling patients in our clinical trials, our trials could be delayed or otherwise adversely affected. </w:t>
      </w:r>
    </w:p>
    <w:p>
      <w:pPr>
        <w:pStyle w:val="TextBody"/>
        <w:spacing w:before="90" w:after="0"/>
        <w:rPr>
          <w:rFonts w:ascii="Times New Roman" w:hAnsi="Times New Roman"/>
          <w:sz w:val="20"/>
        </w:rPr>
      </w:pPr>
      <w:r>
        <w:rPr>
          <w:rFonts w:ascii="Times New Roman" w:hAnsi="Times New Roman"/>
          <w:sz w:val="20"/>
        </w:rPr>
        <w:t xml:space="preserve">Clinical trials for our product candidates require that we identify and enroll a large number of patients with the disorder or condition under investigation. We may not be able to enroll a sufficient number of patients to complete our clinical trials in a timely manner. </w:t>
      </w:r>
    </w:p>
    <w:p>
      <w:pPr>
        <w:pStyle w:val="TextBody"/>
        <w:spacing w:before="180" w:after="0"/>
        <w:rPr>
          <w:rFonts w:ascii="Times New Roman" w:hAnsi="Times New Roman"/>
          <w:sz w:val="20"/>
        </w:rPr>
      </w:pPr>
      <w:r>
        <w:rPr>
          <w:rFonts w:ascii="Times New Roman" w:hAnsi="Times New Roman"/>
          <w:sz w:val="20"/>
        </w:rPr>
        <w:t xml:space="preserve">Patient enrollment is affected by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 of the protocol;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size of the patient population;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eligibility criteria for the study in question;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perceived risks and benefits of the drug under study;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availability of competing therapies, including the off-label use of therapies approved for related indications;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 of our personnel in making the arrangements with potential clinical trial sites necessary for those sites to begin enrolling patients;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patient referral practices of physicians;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availability of clinical trial sites;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clinical trials seeking to enroll subjects with similar profiles. </w:t>
            </w:r>
          </w:p>
        </w:tc>
      </w:tr>
    </w:tbl>
    <w:p>
      <w:pPr>
        <w:pStyle w:val="TextBody"/>
        <w:spacing w:before="180" w:after="0"/>
        <w:rPr>
          <w:rFonts w:ascii="Times New Roman" w:hAnsi="Times New Roman"/>
          <w:sz w:val="20"/>
        </w:rPr>
      </w:pPr>
      <w:r>
        <w:rPr>
          <w:rFonts w:ascii="Times New Roman" w:hAnsi="Times New Roman"/>
          <w:sz w:val="20"/>
        </w:rPr>
        <w:t xml:space="preserve">If we have difficulty enrolling a sufficient number of patients to conduct our clinical trials as planned, we may need to delay or terminate ongoing or planned clinical trials, either of which would have a negative effect on our business. Delays in enrolling patients in our clinical trials would also adversely affect our ability to generate any product, milestone and royalty revenues under collaboration agreements, if any, and could impose significant additional costs on us or on any future collaborators. </w:t>
      </w:r>
    </w:p>
    <w:p>
      <w:pPr>
        <w:pStyle w:val="TextBody"/>
        <w:spacing w:before="270" w:after="0"/>
        <w:rPr>
          <w:rFonts w:ascii="Times New Roman" w:hAnsi="Times New Roman"/>
          <w:b/>
          <w:i/>
          <w:sz w:val="20"/>
        </w:rPr>
      </w:pPr>
      <w:r>
        <w:rPr>
          <w:rFonts w:ascii="Times New Roman" w:hAnsi="Times New Roman"/>
          <w:b/>
          <w:i/>
          <w:sz w:val="20"/>
        </w:rPr>
        <w:t xml:space="preserve">Our planned AF clinical trial will require the use of a third-party diagnostic services provider to administer the genetic test needed to identify the patient receptor genotypes of clinical trial participants. We do not currently have a third-party diagnostic services provider identified to perform this work for our planned AF clinical trial. If we have difficulty getting an arrangement for administering the Gencaro Test, the launch of our planned AF clinical trial could be delayed. </w:t>
      </w:r>
    </w:p>
    <w:p>
      <w:pPr>
        <w:pStyle w:val="TextBody"/>
        <w:pBdr/>
        <w:spacing w:before="90" w:after="0"/>
        <w:rPr/>
      </w:pPr>
      <w:r>
        <w:rPr>
          <w:rFonts w:ascii="Times New Roman" w:hAnsi="Times New Roman"/>
          <w:sz w:val="20"/>
        </w:rPr>
        <w:t>The planned AF clinical trial we intend to conduct with Gencaro requires a companion test that identifies the patients receptor genotype, or Gencaro Test, and the trial will only enroll those patients with the receptor that has the potential for enhanced efficacy, the ß</w:t>
      </w:r>
      <w:r>
        <w:rPr>
          <w:rFonts w:ascii="Times New Roman" w:hAnsi="Times New Roman"/>
          <w:sz w:val="14"/>
        </w:rPr>
        <w:t>1</w:t>
      </w:r>
      <w:r>
        <w:rPr/>
        <w:t xml:space="preserve"> </w:t>
      </w:r>
      <w:r>
        <w:rPr>
          <w:rFonts w:ascii="Times New Roman" w:hAnsi="Times New Roman"/>
          <w:sz w:val="20"/>
        </w:rPr>
        <w:t>389 Arg/Arg receptor. Accordingly, the planned AF clinical trial will require use of a third-party diagnostic service to perform the Gencaro Test. Previously we entered into a collaboration arrangement with LabCorp to develop and commercials the Gencaro Test for the treatment of patients with HF. Under the terms of that collaboration, we licensed to LabCorp certain rights to commercialize a receptor genotype diagnostic for the ß</w:t>
      </w:r>
      <w:r>
        <w:rPr>
          <w:rFonts w:ascii="Times New Roman" w:hAnsi="Times New Roman"/>
          <w:sz w:val="14"/>
        </w:rPr>
        <w:t>1</w:t>
      </w:r>
      <w:r>
        <w:rPr/>
        <w:t xml:space="preserve"> </w:t>
      </w:r>
      <w:r>
        <w:rPr>
          <w:rFonts w:ascii="Times New Roman" w:hAnsi="Times New Roman"/>
          <w:sz w:val="20"/>
        </w:rPr>
        <w:t xml:space="preserve">and </w:t>
      </w:r>
      <w:r>
        <w:rPr>
          <w:rFonts w:ascii="SYMBOL" w:hAnsi="SYMBOL"/>
          <w:sz w:val="20"/>
        </w:rPr>
        <w:t>a</w:t>
      </w:r>
      <w:r>
        <w:rPr>
          <w:rFonts w:ascii="Times New Roman" w:hAnsi="Times New Roman"/>
          <w:sz w:val="14"/>
        </w:rPr>
        <w:t>2C</w:t>
      </w:r>
      <w:r>
        <w:rPr/>
        <w:t xml:space="preserve"> </w:t>
      </w:r>
      <w:r>
        <w:rPr>
          <w:rFonts w:ascii="Times New Roman" w:hAnsi="Times New Roman"/>
          <w:sz w:val="20"/>
        </w:rPr>
        <w:t xml:space="preserve">polymorphisms. We currently intend to pursue a separate arrangement with LabCorp or another third party to provide the diagnostic services of the Gencaro Test needed to support our planned AF trial. </w:t>
      </w:r>
    </w:p>
    <w:p>
      <w:pPr>
        <w:pStyle w:val="TextBody"/>
        <w:spacing w:before="180" w:after="0"/>
        <w:rPr>
          <w:rFonts w:ascii="Times New Roman" w:hAnsi="Times New Roman"/>
          <w:sz w:val="20"/>
        </w:rPr>
      </w:pPr>
      <w:r>
        <w:rPr>
          <w:rFonts w:ascii="Times New Roman" w:hAnsi="Times New Roman"/>
          <w:sz w:val="20"/>
        </w:rPr>
        <w:t xml:space="preserve">Obtaining an arrangement with a third party for developing or administering the Gencaro Test for the AF clinical trial could delay the launch of our planned study. </w:t>
      </w:r>
    </w:p>
    <w:p>
      <w:pPr>
        <w:pStyle w:val="TextBody"/>
        <w:spacing w:before="270" w:after="0"/>
        <w:rPr>
          <w:rFonts w:ascii="Times New Roman" w:hAnsi="Times New Roman"/>
          <w:b/>
          <w:i/>
          <w:sz w:val="20"/>
        </w:rPr>
      </w:pPr>
      <w:r>
        <w:rPr>
          <w:rFonts w:ascii="Times New Roman" w:hAnsi="Times New Roman"/>
          <w:b/>
          <w:i/>
          <w:sz w:val="20"/>
        </w:rPr>
        <w:t xml:space="preserve">Unless we are able to generate sufficient product revenue, we will continue to incur losses from operations and may not achieve or maintain profitability. We are years away from commercializing a product and generating product revenue. </w:t>
      </w:r>
    </w:p>
    <w:p>
      <w:pPr>
        <w:pStyle w:val="TextBody"/>
        <w:spacing w:before="90" w:after="0"/>
        <w:rPr>
          <w:rFonts w:ascii="Times New Roman" w:hAnsi="Times New Roman"/>
          <w:sz w:val="20"/>
        </w:rPr>
      </w:pPr>
      <w:r>
        <w:rPr>
          <w:rFonts w:ascii="Times New Roman" w:hAnsi="Times New Roman"/>
          <w:sz w:val="20"/>
        </w:rPr>
        <w:t xml:space="preserve">Our historical losses have had and will continue to have an adverse effect on our stockholders equity and working capital, among other things. We are years away from commercializing a product and generating any product revenue. As a result, we expect to continue to incur significant operating losses for the foreseeable future. Even if we ultimately receive regulatory approval for Gencaro or our other product candidates, sales of such products may not generate sufficient revenue for it to achieve or maintain profitability. Because of the numerous risks and uncertainties associated with developing therapeutic drugs, we may experience larger than expected future losses and may never reach profitability. </w:t>
      </w:r>
    </w:p>
    <w:p>
      <w:pPr>
        <w:pStyle w:val="TextBody"/>
        <w:spacing w:before="270" w:after="0"/>
        <w:rPr>
          <w:rFonts w:ascii="Times New Roman" w:hAnsi="Times New Roman"/>
          <w:b/>
          <w:i/>
          <w:sz w:val="20"/>
        </w:rPr>
      </w:pPr>
      <w:r>
        <w:rPr>
          <w:rFonts w:ascii="Times New Roman" w:hAnsi="Times New Roman"/>
          <w:b/>
          <w:i/>
          <w:sz w:val="20"/>
        </w:rPr>
        <w:t xml:space="preserve">We may not achieve our projected development goals in the time frames we announce and expect. </w:t>
      </w:r>
    </w:p>
    <w:p>
      <w:pPr>
        <w:pStyle w:val="TextBody"/>
        <w:spacing w:before="90" w:after="0"/>
        <w:rPr>
          <w:rFonts w:ascii="Times New Roman" w:hAnsi="Times New Roman"/>
          <w:sz w:val="20"/>
        </w:rPr>
      </w:pPr>
      <w:r>
        <w:rPr>
          <w:rFonts w:ascii="Times New Roman" w:hAnsi="Times New Roman"/>
          <w:sz w:val="20"/>
        </w:rPr>
        <w:t xml:space="preserve">We set goals for, and make public statements regarding, the timing of certain accomplishments, such as commencement and completion of clinical trials, the disclosure of trial results, the obtainment of regulatory approval and the sale of drug product, which we sometimes refer to as milestones. These milestones may not be achieved, and the actual timing of these events can vary dramatically due to a number of factors such as delays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failures in our clinical trials, disagreements with current or future collaborative partners, the uncertainties inherent in the regulatory approval process and manufacturing scale-up and delays in achieving manufacturing or marketing arrangements sufficient to commercialize our products. FDA approval of Gencaro, if it occurs, is expected to require years of additional clinical development, including the completion of a new multi-year active comparator superiority trial involving approximately 200-400 patients in a genotype-defined HF population with AF and additional clinical trials. There can be no assurance that our clinical trials will be completed, or that we will make regulatory submissions or receive regulatory approvals as planned. If we fail to achieve one or more of these milestones as planned, our business will be materially adversely affected. </w:t>
      </w:r>
    </w:p>
    <w:p>
      <w:pPr>
        <w:pStyle w:val="TextBody"/>
        <w:spacing w:before="270" w:after="0"/>
        <w:rPr>
          <w:rFonts w:ascii="Times New Roman" w:hAnsi="Times New Roman"/>
          <w:b/>
          <w:i/>
          <w:sz w:val="20"/>
        </w:rPr>
      </w:pPr>
      <w:r>
        <w:rPr>
          <w:rFonts w:ascii="Times New Roman" w:hAnsi="Times New Roman"/>
          <w:b/>
          <w:i/>
          <w:sz w:val="20"/>
        </w:rPr>
        <w:t xml:space="preserve">Our product candidates are subject to extensive regulation, which can be costly and time-consuming, and unsuccessful or delayed regulatory approvals could increase our future development costs or impair our future revenue. </w:t>
      </w:r>
    </w:p>
    <w:p>
      <w:pPr>
        <w:pStyle w:val="TextBody"/>
        <w:spacing w:before="90" w:after="0"/>
        <w:rPr>
          <w:rFonts w:ascii="Times New Roman" w:hAnsi="Times New Roman"/>
          <w:sz w:val="20"/>
        </w:rPr>
      </w:pPr>
      <w:r>
        <w:rPr>
          <w:rFonts w:ascii="Times New Roman" w:hAnsi="Times New Roman"/>
          <w:sz w:val="20"/>
        </w:rPr>
        <w:t xml:space="preserve">The preclinical and clinical development, testing, manufacture, safety, efficacy, labeling, storage, recordkeeping, and subsequent advertising, promotion, sale, marketing, and distribution, if approved, of our product candidates are subject to extensive regulation by the FDA and other regulatory authorities in the United States and elsewhere. These regulations also vary in important, meaningful ways from country to country. We are not permitted to market a potential drug in the United States until we receive approval of an NDA from the FDA. We have not received an NDA approval from the FDA for Gencaro or any of our other product candidates. There can be no guarantees with respect to our product candidates that clinical studies will adequately support an NDA, that the products will receive necessary regulatory approvals, or that they will prove to be commercially successful. </w:t>
      </w:r>
    </w:p>
    <w:p>
      <w:pPr>
        <w:pStyle w:val="TextBody"/>
        <w:spacing w:before="180" w:after="0"/>
        <w:rPr>
          <w:rFonts w:ascii="Times New Roman" w:hAnsi="Times New Roman"/>
          <w:sz w:val="20"/>
        </w:rPr>
      </w:pPr>
      <w:r>
        <w:rPr>
          <w:rFonts w:ascii="Times New Roman" w:hAnsi="Times New Roman"/>
          <w:sz w:val="20"/>
        </w:rPr>
        <w:t xml:space="preserve">To receive regulatory approval for the commercial sale of any product candidates, we must demonstrate safety and efficacy in humans to the satisfaction of regulatory authorities through preclinical studies and adequate and well-controlled clinical trials of the product candidates. This process is expensive and can take many years, and failure can occur at any stage of the testing. Our failure to adequately demonstrate the safety and efficacy of our product candidates will prevent regulatory approval and commercialization of such products. In 2008 we submitted and the FDA accepted our NDA filing for Gencaro for the treatment of chronic HF. In 2009 the FDA issued a CRL in which the FDA stated that it could not approve the Gencaro NDA in its current form, and specified actions required for approval of the NDA, including conducting an additional Phase 3 clinical trial of Gencaro in patients with HF. In 2010 we reached agreement with the FDA, through the SPA process, on the design of a clinical trial to assess the safety and efficacy of Gencaro in approximately 3,200 patients with chronic HF who have the genotype that appears to respond most favorably to Gencaro. We are planning to conduct a clinical study of Gencaro in approximately 200-400 HF patients with AF. This product candidate will require years of clinical development. Even if we conduct additional studies in accordance with further FDA guidance and submit or file a new or amended NDA, the FDA may ultimately decide that the NDA does not satisfy the criteria for approval. </w:t>
      </w:r>
    </w:p>
    <w:p>
      <w:pPr>
        <w:pStyle w:val="TextBody"/>
        <w:spacing w:before="180" w:after="0"/>
        <w:rPr>
          <w:rFonts w:ascii="Times New Roman" w:hAnsi="Times New Roman"/>
          <w:sz w:val="20"/>
        </w:rPr>
      </w:pPr>
      <w:r>
        <w:rPr>
          <w:rFonts w:ascii="Times New Roman" w:hAnsi="Times New Roman"/>
          <w:sz w:val="20"/>
        </w:rPr>
        <w:t xml:space="preserve">In the event that we or our collaborators conduct preclinical studies that do not comply with Good Laboratory Practices or GLP or incorrectly design or carry out human clinical trials in accordance with Good Clinical Practices or GCP or those clinical trials fail to demonstrate clinical significance, it is unlikely that we will be able to obtain FDA approval for product development candidates. Our inability to successfully and effectively complete clinical trials for any product candidate on schedule, or at all, will severely harm our business. Significant delays in clinical development could materially increase product development costs or allow our competitors to bring products to market before we do, impairing our ability to effectively commercialize any future product candidate. We do not know whether planned clinical trials will begin on time, will need to be redesigned or will be completed on schedule, if at all. Clinical trials can be delayed for a variety of reasons,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delays or failures in obtaining regulatory authorization to commence a trial because of safety concerns of regulators relating to our product candidates or similar product candidates of our competitors or failure to follow regulatory guidelines;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delays or failures in obtaining clinical materials and manufacturing sufficient quantities of the product candidates for use in trials;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delays or failures in reaching agreement on acceptable terms with prospective study sites;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delays or failures in obtaining approval of our clinical trial protocol from an institutional review board, or IRB, to conduct a clinical trial at a prospective study site;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delays in recruiting patients to participate in a clinical trial, which may be due to the size of the patient population, eligibility criteria, protocol design, perceived risks and benefits of the drug, availability of other approved and standard of care therapies, availability of clinical trial sites;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clinical trials seeking to enroll subjects with similar profile;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of our clinical trials and clinical investigators to be in compliance with the FDAs Good Clinical Practices;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unforeseen safety issues, including negative results from ongoing preclinical studies;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inability to monitor patients adequately during or after treatment;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difficulty monitoring multiple study sites;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of our third-party contract research organizations, clinical site organizations and other clinical trial managers, to satisfy their contractual duties, comply with regulations or meet expected deadlines. </w:t>
            </w:r>
          </w:p>
        </w:tc>
      </w:tr>
    </w:tbl>
    <w:p>
      <w:pPr>
        <w:pStyle w:val="TextBody"/>
        <w:spacing w:before="180" w:after="0"/>
        <w:rPr>
          <w:rFonts w:ascii="Times New Roman" w:hAnsi="Times New Roman"/>
          <w:sz w:val="20"/>
        </w:rPr>
      </w:pPr>
      <w:r>
        <w:rPr>
          <w:rFonts w:ascii="Times New Roman" w:hAnsi="Times New Roman"/>
          <w:sz w:val="20"/>
        </w:rPr>
        <w:t xml:space="preserve">In addition, any approvals we may obtain may not cover all of the clinical indications for which we seek approval or permit us to make claims of superiority over currently marketed competitive products. Also, an approval might contain significant limitations in the form of narrow indications, warnings, precautions or contraindications with respect to conditions of use. If the FDA determines that a risk evaluation and mitigation strategy, or REMS, is necessary to ensure that the benefits of the drug outweigh the risks, we may be required to include as part of the NDA a proposed REMS that may include a package insert directed to patients, a plan for communication with healthcare providers, restrictions on a drugs distribution, or a Medication Guide, to provide better information to consumers about the drugs risks and benefits. Finally, an approval could be conditioned on our commitment to conduct further clinical trials, which we may not have the resources to conduct or which may negatively impact our financial situation. </w:t>
      </w:r>
    </w:p>
    <w:p>
      <w:pPr>
        <w:pStyle w:val="TextBody"/>
        <w:spacing w:before="180" w:after="0"/>
        <w:rPr>
          <w:rFonts w:ascii="Times New Roman" w:hAnsi="Times New Roman"/>
          <w:sz w:val="20"/>
        </w:rPr>
      </w:pPr>
      <w:r>
        <w:rPr>
          <w:rFonts w:ascii="Times New Roman" w:hAnsi="Times New Roman"/>
          <w:sz w:val="20"/>
        </w:rPr>
        <w:t xml:space="preserve">The manufacture and tableting of Gencaro is done by third party suppliers, who must also meet current Good Manufacturing Practices, or cGMP, requirements and pass a pre-approval inspection of their facilities before we can obtain marketing approval. </w:t>
      </w:r>
    </w:p>
    <w:p>
      <w:pPr>
        <w:pStyle w:val="TextBody"/>
        <w:spacing w:before="180" w:after="0"/>
        <w:rPr>
          <w:rFonts w:ascii="Times New Roman" w:hAnsi="Times New Roman"/>
          <w:sz w:val="20"/>
        </w:rPr>
      </w:pPr>
      <w:r>
        <w:rPr>
          <w:rFonts w:ascii="Times New Roman" w:hAnsi="Times New Roman"/>
          <w:sz w:val="20"/>
        </w:rPr>
        <w:t xml:space="preserve">All of our product candidates are prone to the risks of failure inherent in drug development. The results from preclinical animal testing and early human clinical trials may not be predictive of results obtained in later human clinical trials. Further, although a new product may show promising results in preclinical or early human clinical trials, it may subsequently prove unfeasible or impossible to generate sufficient safety and efficacy data to obtain necessary regulatory approvals. The data obtained from preclinical and clinical studies are susceptible to varying interpretations that may delay, limit or prevent regulatory approval, and the FDA and other regulatory authorities in the United States and elsewhere exercise substantial discretion in the drug approval process. The numbers, size and design of preclinical studies and clinical trials that will be required for FDA or other regulatory approval will vary depending on the product candidate, the disease or condition for which the product candidate is intended to be used and the regulations and guidance documents applicable to any particular product candidate. The FDA or other regulators can delay, limit or deny approval of any product candidate for many reasons, including, but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Side effects;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Safety and efficacy;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Defects in the design of clinical trials;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 that the FDA or other regulatory officials may not approve our or our third party manufacturers processes or facilities;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 that new regulations may be enacted by the FDA or other regulators may change their approval policies or adopt new regulations requiring new or different evidence of safety and efficacy for the intended use of a product candidate. </w:t>
            </w:r>
          </w:p>
        </w:tc>
      </w:tr>
    </w:tbl>
    <w:p>
      <w:pPr>
        <w:pStyle w:val="TextBody"/>
        <w:spacing w:before="180" w:after="0"/>
        <w:rPr>
          <w:rFonts w:ascii="Times New Roman" w:hAnsi="Times New Roman"/>
          <w:sz w:val="20"/>
        </w:rPr>
      </w:pPr>
      <w:r>
        <w:rPr>
          <w:rFonts w:ascii="Times New Roman" w:hAnsi="Times New Roman"/>
          <w:sz w:val="20"/>
        </w:rPr>
        <w:t xml:space="preserve">In light of widely publicized events concerning the safety of certain drug products, regulatory authorities, members of Congress, the Government Accountability Office, medical professionals and the general public have raised concerns about potential drug safety issues. These events have resulted in the withdrawal of certain drug products, revisions to certain drug labeling that further limit use of the drug products and establishment of risk management programs that may, for instance, restrict distribution of drug products. The increased attention to drug safety issues may result in a more cautious approach by the FDA to clinical trials and approval. Data from clinical trials may receive greater scrutiny with respect to safety and the products risk/benefit profile, which may make the FDA or other regulatory authorities more likely to terminate clinical trials before completion, or require longer or additional clinical trials that may result in substantial additional expense, and a delay or failure in obtaining approval or approval for a more limited indication than originally sought. Aside from issues concerning the quality and sufficiency of submitted preclinical and clinical data, the FDA may be constrained by limited resources from reviewing and determining the approvability of the Gencaro NDA in a timely manner. </w:t>
      </w:r>
    </w:p>
    <w:p>
      <w:pPr>
        <w:pStyle w:val="TextBody"/>
        <w:spacing w:before="180" w:after="0"/>
        <w:rPr>
          <w:rFonts w:ascii="Times New Roman" w:hAnsi="Times New Roman"/>
          <w:sz w:val="20"/>
        </w:rPr>
      </w:pPr>
      <w:r>
        <w:rPr>
          <w:rFonts w:ascii="Times New Roman" w:hAnsi="Times New Roman"/>
          <w:sz w:val="20"/>
        </w:rPr>
        <w:t xml:space="preserve">In pursuing clinical development of Gencaro for an AF indication, we would likely be required to amend the Gencaro HF NDA or prepare a new NDA. The FDA could approve Gencaro, but without including some or all of the prescribing information that we have requested. For instance, the FDA could approve Gencaro for AF in a more limited patient population or included additional warnings in the drugs label. This, in turn, could substantially and detrimentally impact our ability to successfully commercialize Gencaro and effectively protect our intellectual property rights in Gencaro. </w:t>
      </w:r>
    </w:p>
    <w:p>
      <w:pPr>
        <w:pStyle w:val="TextBody"/>
        <w:spacing w:before="270" w:after="0"/>
        <w:rPr>
          <w:rFonts w:ascii="Times New Roman" w:hAnsi="Times New Roman"/>
          <w:b/>
          <w:i/>
          <w:sz w:val="20"/>
        </w:rPr>
      </w:pPr>
      <w:r>
        <w:rPr>
          <w:rFonts w:ascii="Times New Roman" w:hAnsi="Times New Roman"/>
          <w:b/>
          <w:i/>
          <w:sz w:val="20"/>
        </w:rPr>
        <w:t xml:space="preserve">If our product candidates receive regulatory approval, we would be subject to ongoing regulatory obligations and restrictions, which may result in significant expenses and limit our ability to develop and commercialize other potential products. </w:t>
      </w:r>
    </w:p>
    <w:p>
      <w:pPr>
        <w:pStyle w:val="TextBody"/>
        <w:spacing w:before="90" w:after="0"/>
        <w:rPr>
          <w:rFonts w:ascii="Times New Roman" w:hAnsi="Times New Roman"/>
          <w:sz w:val="20"/>
        </w:rPr>
      </w:pPr>
      <w:r>
        <w:rPr>
          <w:rFonts w:ascii="Times New Roman" w:hAnsi="Times New Roman"/>
          <w:sz w:val="20"/>
        </w:rPr>
        <w:t xml:space="preserve">If a product candidate of ours is approved by the FDA or by another regulatory authority, we would be held to extensive regulatory requirements over product manufacturing, testing, distribution, labeling, packaging, adverse event reporting and other reporting to regulatory authorities, storage, advertising, marketing, promotion, distribution, and record keeping. Regulatory approvals may also be subject to significant limitations on the indicated uses or marketing of the product candidates. Potentially costly follow-up or post-marketing clinical studies may be required as a condition of approval to further substantiate safety or efficacy, or to investigate specific issues of interest to the regulatory authority. Previously unknown problems with the product candidate, including adverse events of unanticipated severity or frequency, may result in additional regulatory controls or restrictions on the marketing or use of the product or the need for post marketing studies, and could include suspension or withdrawal of the products from the market. </w:t>
      </w:r>
    </w:p>
    <w:p>
      <w:pPr>
        <w:pStyle w:val="TextBody"/>
        <w:spacing w:before="180" w:after="0"/>
        <w:rPr>
          <w:rFonts w:ascii="Times New Roman" w:hAnsi="Times New Roman"/>
          <w:sz w:val="20"/>
        </w:rPr>
      </w:pPr>
      <w:r>
        <w:rPr>
          <w:rFonts w:ascii="Times New Roman" w:hAnsi="Times New Roman"/>
          <w:sz w:val="20"/>
        </w:rPr>
        <w:t xml:space="preserve">Furthermore, our third-party manufacturers and the manufacturing facilities that they use to make our product candidates are regulated by the FDA. Quality control and manufacturing procedures must continue to conform to cGMP after approval. Drug manufacturers and their subcontractors are required to register their facilities and products manufactured annually with the FDA and certain state agencies and are subject to periodic unannounced inspections by the FDA, state and/or other foreign authorities. Any subsequent discovery of problems with a product, or a manufacturing or laboratory facility used by us or our collaborators, may result in restrictions on the product, or on the manufacturing or laboratory facility, including a withdrawal of the drug from the market or suspension of manufacturing. Any changes to an approved product, including the way it is manufactured or promoted, often require FDA approval before the product, as modified, can be marketed. We and our third-party manufacturers will also be subject to ongoing FDA requirements for submission of safety and other post-market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marketing and advertising of our drug products by our collaborators or us will be regulated by the FDA, certain state agencies or foreign regulatory authorities. Violations of these laws and regulations, including promotion of our products for unapproved uses or failing to disclose risk information, are punishable by criminal and civil sanctions and may result in the issuance of enforcement letters or other enforcement action by the FDA, U.S. Department of Justice, state agencies, or foreign regulatory authorities that could jeopardize our ability to market the product. </w:t>
      </w:r>
    </w:p>
    <w:p>
      <w:pPr>
        <w:pStyle w:val="TextBody"/>
        <w:spacing w:before="180" w:after="0"/>
        <w:rPr>
          <w:rFonts w:ascii="Times New Roman" w:hAnsi="Times New Roman"/>
          <w:sz w:val="20"/>
        </w:rPr>
      </w:pPr>
      <w:r>
        <w:rPr>
          <w:rFonts w:ascii="Times New Roman" w:hAnsi="Times New Roman"/>
          <w:sz w:val="20"/>
        </w:rPr>
        <w:t xml:space="preserve">In addition to the FDA, state or foreign regulations, the marketing of our drug products by us or our collaborators will be regulated by federal, state or foreign laws pertaining to health care fraud and abuse, such as the federal anti-kickback law prohibiting bribes, kickbacks or other remuneration for the order or recommendation of items or services reimbursed by federal health care programs. Many states have similar laws applicable to items or services reimbursed by commercial insurers. Violations of these laws are punishable by criminal and civil sanctions, including, in some instances, imprisonment and exclusion from participation in federal and state health care programs, including the Medicare, Medicaid and Veterans Affairs healthcare programs. Because of the far-reaching nature of these laws, we may be required to discontinue one or more of our practices to be in compliance with these laws. Health care fraud and abuse regulations are complex, and even minor irregularities can potentially give rise to claims that a statute or prohibition has been violated. Any violations of these laws, or any action against us for violations of these laws, even if we successfully defend against it, could have a material adverse effect on our business, financial condition and results of operations. </w:t>
      </w:r>
    </w:p>
    <w:p>
      <w:pPr>
        <w:pStyle w:val="TextBody"/>
        <w:spacing w:before="180" w:after="0"/>
        <w:rPr>
          <w:rFonts w:ascii="Times New Roman" w:hAnsi="Times New Roman"/>
          <w:sz w:val="20"/>
        </w:rPr>
      </w:pPr>
      <w:r>
        <w:rPr>
          <w:rFonts w:ascii="Times New Roman" w:hAnsi="Times New Roman"/>
          <w:sz w:val="20"/>
        </w:rPr>
        <w:t xml:space="preserve">We could also become subject to false claims litigation under federal statutes, which can lead to civil money penalties, restitution, criminal fines and imprisonment, and exclusion from participation in Medicare, Medicaid and other federal and state health care programs. These false claims statutes include the False Claims Act, which allows any person to bring a suit on behalf of the federal government alleging submission of false or fraudulent claims, or causing to present such false or fraudulent claims, under federal programs or contracts claims or other violations of the statute and to share in any amounts paid by the entity to the government in fines or settlement. These suits against pharmaceutical companies have increased significantly in volume and breadth in recent years. Some of these suits have been brought on the basis of certain sales practices promoting drug products for unapproved uses. This new growth in litigation has increased the risk that a pharmaceutical company will have to defend a false claim action, pay fines or restitution, or be excluded from the Medicare, Medicaid, Veterans Affairs and other federal and state healthcare programs as a result of an investigation arising out of such action. We may become subject to such litigation and, if we are not successful in defending against such actions, those actions may have a material adverse effect on our business, financial condition and results of operations. We could also become subject to false claims litigation and consumer protection claims under state statutes, which also could lead to civil monetary penalties, restitution, criminal fines and imprisonment, and exclusion from participation in state health care programs. </w:t>
      </w:r>
    </w:p>
    <w:p>
      <w:pPr>
        <w:pStyle w:val="TextBody"/>
        <w:spacing w:before="180" w:after="0"/>
        <w:rPr>
          <w:rFonts w:ascii="Times New Roman" w:hAnsi="Times New Roman"/>
          <w:sz w:val="20"/>
        </w:rPr>
      </w:pPr>
      <w:r>
        <w:rPr>
          <w:rFonts w:ascii="Times New Roman" w:hAnsi="Times New Roman"/>
          <w:sz w:val="20"/>
        </w:rPr>
        <w:t xml:space="preserve">Of note, over the past few years there has been an increased focus on the sales and marketing practices of the pharmaceutical industry at both the federal and state level. Additionally, the law or regulatory policies governing pharmaceuticals may change. New statutory requirements may be enacted or additional regulations may be adopted that could prevent or delay regulatory approval of our product candidates or limit our ability to commercialize our products. We cannot predict the likelihood, nature or extent of adverse government regulation that may arise from future legislation or administrative action, either in the U.S. or elsewhere. </w:t>
      </w:r>
    </w:p>
    <w:p>
      <w:pPr>
        <w:pStyle w:val="TextBody"/>
        <w:spacing w:before="180" w:after="0"/>
        <w:rPr>
          <w:rFonts w:ascii="Times New Roman" w:hAnsi="Times New Roman"/>
          <w:sz w:val="20"/>
        </w:rPr>
      </w:pPr>
      <w:r>
        <w:rPr>
          <w:rFonts w:ascii="Times New Roman" w:hAnsi="Times New Roman"/>
          <w:sz w:val="20"/>
        </w:rPr>
        <w:t xml:space="preserve">If we, our collaborators or our third-party manufacturers fail to comply with applicable continuing regulatory requirements, our business could be seriously harmed because a regulatory agency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untitled or warning letters;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suspend or withdraw our regulatory approval for approved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seize or detain products or recommend a product recall of a drug or medical device, or issue a mandatory recall of a medical device;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refuse to approve pending applications or supplements to approved applications filed by us;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suspend our ongoing clinical trials;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restrict our operations, including costly new manufacturing requirements, or restrict the sale, marketing and/or distribution of our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seek an injunction;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pursue criminal prosecutions;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close the facilities of our contract manufacturers;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impose civil or criminal penalties. </w:t>
            </w:r>
          </w:p>
        </w:tc>
      </w:tr>
    </w:tbl>
    <w:p>
      <w:pPr>
        <w:pStyle w:val="TextBody"/>
        <w:spacing w:before="270" w:after="0"/>
        <w:rPr>
          <w:rFonts w:ascii="Times New Roman" w:hAnsi="Times New Roman"/>
          <w:b/>
          <w:i/>
          <w:sz w:val="20"/>
        </w:rPr>
      </w:pPr>
      <w:r>
        <w:rPr>
          <w:rFonts w:ascii="Times New Roman" w:hAnsi="Times New Roman"/>
          <w:b/>
          <w:i/>
          <w:sz w:val="20"/>
        </w:rPr>
        <w:t xml:space="preserve">We are will need to establish a collaborative arrangement with a third-party diagnostics services provider to obtain marketing clearance or approval of the companion Gencaro Test. There is no guarantee that the FDA will grant timely clearance or approval of the Gencaro Test, if at all, and failure to obtain such timely clearance or approval would adversely affect our ability to market Gencaro. </w:t>
      </w:r>
    </w:p>
    <w:p>
      <w:pPr>
        <w:pStyle w:val="TextBody"/>
        <w:spacing w:before="90" w:after="0"/>
        <w:rPr>
          <w:rFonts w:ascii="Times New Roman" w:hAnsi="Times New Roman"/>
          <w:sz w:val="20"/>
        </w:rPr>
      </w:pPr>
      <w:r>
        <w:rPr>
          <w:rFonts w:ascii="Times New Roman" w:hAnsi="Times New Roman"/>
          <w:sz w:val="20"/>
        </w:rPr>
        <w:t xml:space="preserve">The drug label we intend to seek for Gencaro would identify the patient receptor genotype for which the drug is approved. Accordingly, we believe developing a Gencaro Test that is simple to administer and widely available will be critical to the successful commercialization of Gencaro and also to the ability to conduct our planned AF clinical trial. </w:t>
      </w:r>
    </w:p>
    <w:p>
      <w:pPr>
        <w:pStyle w:val="TextBody"/>
        <w:spacing w:before="180" w:after="0"/>
        <w:rPr>
          <w:rFonts w:ascii="Times New Roman" w:hAnsi="Times New Roman"/>
          <w:sz w:val="20"/>
        </w:rPr>
      </w:pPr>
      <w:r>
        <w:rPr>
          <w:rFonts w:ascii="Times New Roman" w:hAnsi="Times New Roman"/>
          <w:sz w:val="20"/>
        </w:rPr>
        <w:t xml:space="preserve">The Gencaro Test will be subject to regulation by the FDA and by comparable agencies in various foreign countries. The process of complying with the requirements of the FDA and comparable agencies is costly, time consuming and burdensome. </w:t>
      </w:r>
    </w:p>
    <w:p>
      <w:pPr>
        <w:pStyle w:val="TextBody"/>
        <w:spacing w:before="180" w:after="0"/>
        <w:rPr>
          <w:rFonts w:ascii="Times New Roman" w:hAnsi="Times New Roman"/>
          <w:sz w:val="20"/>
        </w:rPr>
      </w:pPr>
      <w:r>
        <w:rPr>
          <w:rFonts w:ascii="Times New Roman" w:hAnsi="Times New Roman"/>
          <w:sz w:val="20"/>
        </w:rPr>
        <w:t xml:space="preserve">Despite the time and expense expended, regulatory clearance or approval is never guaranteed. If regulatory clearance or approval is delayed, or if a third-party diagnostic services provider is unable to obtain FDA approval of the Gencaro Test at all or in parallel with the approval of Gencaro, or is unable to commercialize the test successfully and in a manner that effectively supports the commercial efforts for Gencaro, or if the information concerning the differential response to Gencaro resulting from certain genetic variation is not included in the approval label for Gencaro, our planned AF clinical trial and the commercial launch of Gencaro may be significantly and adversely affected. </w:t>
      </w:r>
    </w:p>
    <w:p>
      <w:pPr>
        <w:pStyle w:val="TextBody"/>
        <w:spacing w:before="270" w:after="0"/>
        <w:rPr>
          <w:rFonts w:ascii="Times New Roman" w:hAnsi="Times New Roman"/>
          <w:b/>
          <w:i/>
          <w:sz w:val="20"/>
        </w:rPr>
      </w:pPr>
      <w:r>
        <w:rPr>
          <w:rFonts w:ascii="Times New Roman" w:hAnsi="Times New Roman"/>
          <w:b/>
          <w:i/>
          <w:sz w:val="20"/>
        </w:rPr>
        <w:t xml:space="preserve">Reliance on third parties to commercialize Gencaro could negatively impact our business. If we are required to establish a direct sales force in the U.S. and are unable to do so, our business may be harmed. </w:t>
      </w:r>
    </w:p>
    <w:p>
      <w:pPr>
        <w:pStyle w:val="TextBody"/>
        <w:spacing w:before="90" w:after="0"/>
        <w:rPr>
          <w:rFonts w:ascii="Times New Roman" w:hAnsi="Times New Roman"/>
          <w:sz w:val="20"/>
        </w:rPr>
      </w:pPr>
      <w:r>
        <w:rPr>
          <w:rFonts w:ascii="Times New Roman" w:hAnsi="Times New Roman"/>
          <w:sz w:val="20"/>
        </w:rPr>
        <w:t xml:space="preserve">Commercialization of Gencaro, particularly the establishment of a sales organization, will require substantial additional capital resources. We currently intend to pursue a strategic partnership alternative for the commercialization of Gencaro, if it is approved, and we have suspended our efforts to build internal sales, marketing and distribution capabilities. If we elect to rely on third parties to sell Gencaro and any other products, then we may receive less revenue than if we sold such products directly. In addition, we may have little or no control over the sales efforts of those third parties. </w:t>
      </w:r>
    </w:p>
    <w:p>
      <w:pPr>
        <w:pStyle w:val="TextBody"/>
        <w:spacing w:before="180" w:after="0"/>
        <w:rPr>
          <w:rFonts w:ascii="Times New Roman" w:hAnsi="Times New Roman"/>
          <w:sz w:val="20"/>
        </w:rPr>
      </w:pPr>
      <w:r>
        <w:rPr>
          <w:rFonts w:ascii="Times New Roman" w:hAnsi="Times New Roman"/>
          <w:sz w:val="20"/>
        </w:rPr>
        <w:t xml:space="preserve">If we are unable to complete a strategic transaction, we would be unable to commercialize Gencaro or any other product candidate without substantial additional capital. Even if such capital were secured, we would be required to build internal sales, marketing and distribution capabilities to market Gencaro in the U.S. None of our current employees have experience in establishing and managing a sales force. </w:t>
      </w:r>
    </w:p>
    <w:p>
      <w:pPr>
        <w:pStyle w:val="TextBody"/>
        <w:spacing w:before="180" w:after="0"/>
        <w:rPr>
          <w:rFonts w:ascii="Times New Roman" w:hAnsi="Times New Roman"/>
          <w:sz w:val="20"/>
        </w:rPr>
      </w:pPr>
      <w:r>
        <w:rPr>
          <w:rFonts w:ascii="Times New Roman" w:hAnsi="Times New Roman"/>
          <w:sz w:val="20"/>
        </w:rPr>
        <w:t xml:space="preserve">In the event we are unable to sell Gencaro and other selected product candidates, either directly or through third parties via a strategic transaction, the commercialization of Gencaro, if it is approved, may be delayed indefinitely.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Future sales of Gencaro may suffer if its marketplace acceptance is negatively affected by the Gencaro Test. </w:t>
      </w:r>
    </w:p>
    <w:p>
      <w:pPr>
        <w:pStyle w:val="TextBody"/>
        <w:spacing w:before="90" w:after="0"/>
        <w:rPr>
          <w:rFonts w:ascii="Times New Roman" w:hAnsi="Times New Roman"/>
          <w:sz w:val="20"/>
        </w:rPr>
      </w:pPr>
      <w:r>
        <w:rPr>
          <w:rFonts w:ascii="Times New Roman" w:hAnsi="Times New Roman"/>
          <w:sz w:val="20"/>
        </w:rPr>
        <w:t xml:space="preserve">The Gencaro Test is an important component of the commercial strategy for Gencaro in addition to being required to proceed with our planned AF trial. We believe that the Gencaro Test helps predict patient response to Gencaro, and that this aspect of the drug is important to its ability to compete effectively with current therapies. The Gencaro Test adds an additional step in the prescribing process, an additional cost for the patient and payors, the risk that the test results may not be rapidly available and the possibility that it may not be available at all to hospitals and medical centers. Although we anticipate that Gencaro, if approved in a timely manner, would be the first genetically-targeted cardiovascular drug, Gencaro will be one of a number of successful drugs in the beta-blocker class currently on the market. Prescribers may be more familiar with these other beta-blockers, and may be resistant to prescribing Gencaro as an AF or HF therapy. Any one of these factors could affect prescriber behavior, which in turn may substantially impede market acceptance of the Gencaro Test, which could cause significant harm to Gencaros ability to compete, and in turn harm our business. </w:t>
      </w:r>
    </w:p>
    <w:p>
      <w:pPr>
        <w:pStyle w:val="TextBody"/>
        <w:spacing w:before="270" w:after="0"/>
        <w:rPr>
          <w:rFonts w:ascii="Times New Roman" w:hAnsi="Times New Roman"/>
          <w:b/>
          <w:i/>
          <w:sz w:val="20"/>
        </w:rPr>
      </w:pPr>
      <w:r>
        <w:rPr>
          <w:rFonts w:ascii="Times New Roman" w:hAnsi="Times New Roman"/>
          <w:b/>
          <w:i/>
          <w:sz w:val="20"/>
        </w:rPr>
        <w:t xml:space="preserve">We are dependent on our key personnel. </w:t>
      </w:r>
    </w:p>
    <w:p>
      <w:pPr>
        <w:pStyle w:val="TextBody"/>
        <w:spacing w:before="90" w:after="0"/>
        <w:rPr>
          <w:rFonts w:ascii="Times New Roman" w:hAnsi="Times New Roman"/>
          <w:sz w:val="20"/>
        </w:rPr>
      </w:pPr>
      <w:r>
        <w:rPr>
          <w:rFonts w:ascii="Times New Roman" w:hAnsi="Times New Roman"/>
          <w:sz w:val="20"/>
        </w:rPr>
        <w:t xml:space="preserve">The success of our business is highly dependent on the principal members of our board of directors and executive management, including our Chairman of the Board, Richard B. Brewer and our President and Chief Executive Officer, Michael R. Bristow. The loss of the services of any such individual might seriously harm our product development, partnering and financing efforts. Recruiting and training personnel with the requisite skills is challenging and we compete for talent with companies that are larger and have more financial resources. </w:t>
      </w:r>
    </w:p>
    <w:p>
      <w:pPr>
        <w:pStyle w:val="TextBody"/>
        <w:spacing w:before="270" w:after="0"/>
        <w:rPr>
          <w:rFonts w:ascii="Times New Roman" w:hAnsi="Times New Roman"/>
          <w:b/>
          <w:i/>
          <w:sz w:val="20"/>
        </w:rPr>
      </w:pPr>
      <w:r>
        <w:rPr>
          <w:rFonts w:ascii="Times New Roman" w:hAnsi="Times New Roman"/>
          <w:b/>
          <w:i/>
          <w:sz w:val="20"/>
        </w:rPr>
        <w:t xml:space="preserve">We have no manufacturing capacity which puts us at risk of lengthy and costly delays of bringing our products to market. </w:t>
      </w:r>
    </w:p>
    <w:p>
      <w:pPr>
        <w:pStyle w:val="TextBody"/>
        <w:spacing w:before="90" w:after="0"/>
        <w:rPr>
          <w:rFonts w:ascii="Times New Roman" w:hAnsi="Times New Roman"/>
          <w:sz w:val="20"/>
        </w:rPr>
      </w:pPr>
      <w:r>
        <w:rPr>
          <w:rFonts w:ascii="Times New Roman" w:hAnsi="Times New Roman"/>
          <w:sz w:val="20"/>
        </w:rPr>
        <w:t xml:space="preserve">We do not currently operate manufacturing facilities for clinical or commercial production of our product candidates, including their active pharmaceutical ingredients, or API. We have no experience in drug formulation or manufacturing, and we lack the resources and the capabilities to manufacture any of our product candidates on a clinical or commercial scale. We do not intend to develop facilities for the manufacture of product candidates for clinical trials or commercial purposes in the foreseeable future. </w:t>
      </w:r>
    </w:p>
    <w:p>
      <w:pPr>
        <w:pStyle w:val="TextBody"/>
        <w:spacing w:before="180" w:after="0"/>
        <w:rPr>
          <w:rFonts w:ascii="Times New Roman" w:hAnsi="Times New Roman"/>
          <w:sz w:val="20"/>
        </w:rPr>
      </w:pPr>
      <w:r>
        <w:rPr>
          <w:rFonts w:ascii="Times New Roman" w:hAnsi="Times New Roman"/>
          <w:sz w:val="20"/>
        </w:rPr>
        <w:t xml:space="preserve">We have contracted with Groupe Novasep to manufacture commercial quantities of the API for Gencaro. For drug production, we have contracted with Patheon, Inc. to manufacture the Gencaro tablets. These contract manufacturers may not perform as agreed or may not remain in the contract manufacturing business for the time required to successfully produce, store and distribute our products. In addition, these manufacturers may have staffing difficulties, may not be able to manufacture our products on a timely basis or may become financially distressed. In the event of errors in forecasting production quantities required to meet demand, natural disaster, equipment malfunctions or failures, technology malfunctions, strikes, lock-outs or work stoppages, regional power outages, product tampering, war or terrorist activities, actions of regulatory authorities, business failure, strike or other difficulty, we may be unable to find an alternative third-party manufacturer in a timely manner and the production of our product candidates would be interrupted, resulting in delays and additional costs, which could impact our ability to commercialize and sell our product candidates. </w:t>
      </w:r>
    </w:p>
    <w:p>
      <w:pPr>
        <w:pStyle w:val="TextBody"/>
        <w:spacing w:before="180" w:after="0"/>
        <w:rPr>
          <w:rFonts w:ascii="Times New Roman" w:hAnsi="Times New Roman"/>
          <w:sz w:val="20"/>
        </w:rPr>
      </w:pPr>
      <w:r>
        <w:rPr>
          <w:rFonts w:ascii="Times New Roman" w:hAnsi="Times New Roman"/>
          <w:sz w:val="20"/>
        </w:rPr>
        <w:t xml:space="preserve">We or our contract manufacturers may also fail to achieve and maintain required manufacturing standards, which could result in patient injury or death, product recalls or withdrawals, an order by governmental authorities to halt production, delays or failures in product testing or delivery, cost overruns or other problems that could seriously hurt our business. Contract manufacturers also often encounter difficulties involving production yields, quality control and quality assurance, as well as shortages of qualified personnel. In addition, our contract manufacturers are subject to ongoing inspections and regulation by the FDA, the U.S. Drug Enforcement Agency and corresponding foreign and state agencies and they may fail to meet these agencies acceptable standards of compliance. If our contract manufacturers fail to comply with applicable governmental regulations, such as quality control, quality assurance and the maintenance of records and documentation, we may not be able to continue production of the API or finished product. If the safety of any API or product supplied is compromised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due to failure to adhere to applicable laws or for other reasons, this may jeopardize our regulatory approval for Gencaro and other product candidates, and we may be held liable for any injuries sustained as a result. </w:t>
      </w:r>
    </w:p>
    <w:p>
      <w:pPr>
        <w:pStyle w:val="TextBody"/>
        <w:spacing w:before="180" w:after="0"/>
        <w:rPr>
          <w:rFonts w:ascii="Times New Roman" w:hAnsi="Times New Roman"/>
          <w:sz w:val="20"/>
        </w:rPr>
      </w:pPr>
      <w:r>
        <w:rPr>
          <w:rFonts w:ascii="Times New Roman" w:hAnsi="Times New Roman"/>
          <w:sz w:val="20"/>
        </w:rPr>
        <w:t xml:space="preserve">Upon the occurrence of one of the aforementioned events, the ability to switch manufacturers may be difficult for a number of reasons,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number of potential manufacturers is limited and we may not be able to negotiate agreements with alternative manufacturers on commercially reasonable terms, if at all;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long lead times are often needed to manufacture drugs;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manufacturing process is complex and may require a significant learning curve;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FDA must approve any replacement prior to manufacturing, which requires new testing and compliance inspections. </w:t>
            </w:r>
          </w:p>
        </w:tc>
      </w:tr>
    </w:tbl>
    <w:p>
      <w:pPr>
        <w:pStyle w:val="TextBody"/>
        <w:spacing w:before="270" w:after="0"/>
        <w:rPr>
          <w:rFonts w:ascii="Times New Roman" w:hAnsi="Times New Roman"/>
          <w:b/>
          <w:i/>
          <w:sz w:val="20"/>
        </w:rPr>
      </w:pPr>
      <w:r>
        <w:rPr>
          <w:rFonts w:ascii="Times New Roman" w:hAnsi="Times New Roman"/>
          <w:b/>
          <w:i/>
          <w:sz w:val="20"/>
        </w:rPr>
        <w:t xml:space="preserve">If a third-party diagnostics provider responsible for the Gencaro Test or certain of its third-party suppliers fail to comply with ongoing FDA or other foreign regulatory authority requirements, or if there are unanticipated problems with the Gencaro Test, these products could be subject to restrictions or withdrawal from use in trial or from the market. </w:t>
      </w:r>
    </w:p>
    <w:p>
      <w:pPr>
        <w:pStyle w:val="TextBody"/>
        <w:spacing w:before="90" w:after="0"/>
        <w:rPr>
          <w:rFonts w:ascii="Times New Roman" w:hAnsi="Times New Roman"/>
          <w:sz w:val="20"/>
        </w:rPr>
      </w:pPr>
      <w:r>
        <w:rPr>
          <w:rFonts w:ascii="Times New Roman" w:hAnsi="Times New Roman"/>
          <w:sz w:val="20"/>
        </w:rPr>
        <w:t xml:space="preserve">Any medical device for which a third-party diagnostics provider obtains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With respect to the Gencaro Test, to the extent applicable, any third-party diagnostics provider and certain of its suppliers will be required to comply with the FDAs Quality System Regulation, or QSR, and International Standards Organization, or ISO, requirements which cover the methods and documentation of the design, testing, production, control, quality assurance, labeling, packaging, storage and shipping of any product for which clearance or approval is obtained. Regulatory bodies, such as the FDA, enforce the QSR and other regulations through periodic inspections. The failure by a third-party diagnostics provider, or certain of its third-party manufacturers or suppliers, as the case may be, to comply with applicable statutes and regulations administered by the FDA and other regulatory bodies, or the failure to timely and adequately respond to any adverse inspectional observations or product safety issues, could result in, among other things, enforcement actions. If any of these actions were to occur, it could harm our reputation and cause product sales and profitability of Gencaro to suffer and may prevent us from generating revenue or utilizing the Gencaro Test further in any clinical trial. </w:t>
      </w:r>
    </w:p>
    <w:p>
      <w:pPr>
        <w:pStyle w:val="TextBody"/>
        <w:spacing w:before="180" w:after="0"/>
        <w:rPr>
          <w:rFonts w:ascii="Times New Roman" w:hAnsi="Times New Roman"/>
          <w:sz w:val="20"/>
        </w:rPr>
      </w:pPr>
      <w:r>
        <w:rPr>
          <w:rFonts w:ascii="Times New Roman" w:hAnsi="Times New Roman"/>
          <w:sz w:val="20"/>
        </w:rPr>
        <w:t xml:space="preserve">Even if regulatory clearance or approval is granted, such clearance or approval may be subject to limitations on the intended uses for which the product may be marketed and reduce our potential to successfully commercialize the product and generate revenue from the product. </w:t>
      </w:r>
    </w:p>
    <w:p>
      <w:pPr>
        <w:pStyle w:val="TextBody"/>
        <w:spacing w:before="270" w:after="0"/>
        <w:rPr>
          <w:rFonts w:ascii="Times New Roman" w:hAnsi="Times New Roman"/>
          <w:b/>
          <w:i/>
          <w:sz w:val="20"/>
        </w:rPr>
      </w:pPr>
      <w:r>
        <w:rPr>
          <w:rFonts w:ascii="Times New Roman" w:hAnsi="Times New Roman"/>
          <w:b/>
          <w:i/>
          <w:sz w:val="20"/>
        </w:rPr>
        <w:t xml:space="preserve">A third-party diagnostics provider may need to conduct clinical trials to support current or future versions of the Gencaro Test. Delays or failures in any such clinical trials may prevent a third-party diagnostics provider from commercializing any modified or new versions of the Gencaro Test and will adversely affect our business, operating results and prospects. </w:t>
      </w:r>
    </w:p>
    <w:p>
      <w:pPr>
        <w:pStyle w:val="TextBody"/>
        <w:spacing w:before="90" w:after="0"/>
        <w:rPr>
          <w:rFonts w:ascii="Times New Roman" w:hAnsi="Times New Roman"/>
          <w:sz w:val="20"/>
        </w:rPr>
      </w:pPr>
      <w:r>
        <w:rPr>
          <w:rFonts w:ascii="Times New Roman" w:hAnsi="Times New Roman"/>
          <w:sz w:val="20"/>
        </w:rPr>
        <w:t xml:space="preserve">Based on discussions with the FDA, we do not believe that additional clinical data are needed for the Gencaro Test submission. However, the FDA may require clinical data for the Gencaro Test submission and/or future products. Initiating and completing clinical trials necessary to support 510(k)s or PMAs, if required, for current or future products will be time consuming and expensive and the outcome uncertain. Moreover, the results of early clinical trials are not necessarily predictive of future results, and any product we or our third party suppliers advance into clinical trials may not have favorable results in later clinical trials. </w:t>
      </w:r>
    </w:p>
    <w:p>
      <w:pPr>
        <w:pStyle w:val="TextBody"/>
        <w:spacing w:before="180" w:after="0"/>
        <w:rPr>
          <w:rFonts w:ascii="Times New Roman" w:hAnsi="Times New Roman"/>
          <w:sz w:val="20"/>
        </w:rPr>
      </w:pPr>
      <w:r>
        <w:rPr>
          <w:rFonts w:ascii="Times New Roman" w:hAnsi="Times New Roman"/>
          <w:sz w:val="20"/>
        </w:rPr>
        <w:t xml:space="preserve">Conducting successful clinical studies may require the enrollment of large numbers of patients, and suitable patients may be difficult to identify and recruit. Patient enrollment in clinical trials and completion of patient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participation and follow-up depends on many factors, including: the size of the patient population; the number of patients to be enrolled; the nature of the trial protocol; the attractiveness of, or the discomforts and risks associated with, the treatments received by enrolled subjects; the availability of appropriate clinical trial investigators, support staff, and proximity of patients to clinical sites; and the patients ability to meet the eligibility and exclusion criteria for participation in the clinical trial and patient compliance. For example, patients may be discouraged from enrolling in clinical trials if the trial protocol requires them to undergo extensive post-treatment procedures or follow-up to assess the safety and effectiveness of our products or if they determine that the treatments received under the trial protocol are not attractive or involve unacceptable risks or discomforts. In addition, patients participating in clinical trials may die before completion of the trial or suffer adverse medical events unrelated to investigational products. </w:t>
      </w:r>
    </w:p>
    <w:p>
      <w:pPr>
        <w:pStyle w:val="TextBody"/>
        <w:spacing w:before="180" w:after="0"/>
        <w:rPr>
          <w:rFonts w:ascii="Times New Roman" w:hAnsi="Times New Roman"/>
          <w:sz w:val="20"/>
        </w:rPr>
      </w:pPr>
      <w:r>
        <w:rPr>
          <w:rFonts w:ascii="Times New Roman" w:hAnsi="Times New Roman"/>
          <w:sz w:val="20"/>
        </w:rPr>
        <w:t xml:space="preserve">Development of sufficient and appropriate clinical protocols to demonstrate safety and efficacy are required, and we or the third-party diagnostics provider may not adequately develop such protocols to support clearance and approval. The trials will require the submission and approval of an investigational device exemption, or IDE, from the FDA. There is no guarantee that the FDA will approve the third-party diagnostics providers or our future IDE submissions. Further, the FDA may require them or us to submit data on a greater number of patients than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future products or result in the failure of the clinical trial. In addition, despite considerable time and expense invested in such clinical trials, the FDA may not consider the data to be adequate to demonstrate safety and efficacy. Such increased costs and delays or failures could adversely affect our or our third party suppliers business, operating results and prospects. </w:t>
      </w:r>
    </w:p>
    <w:p>
      <w:pPr>
        <w:pStyle w:val="TextBody"/>
        <w:spacing w:before="270" w:after="0"/>
        <w:rPr>
          <w:rFonts w:ascii="Times New Roman" w:hAnsi="Times New Roman"/>
          <w:b/>
          <w:i/>
          <w:sz w:val="20"/>
        </w:rPr>
      </w:pPr>
      <w:r>
        <w:rPr>
          <w:rFonts w:ascii="Times New Roman" w:hAnsi="Times New Roman"/>
          <w:b/>
          <w:i/>
          <w:sz w:val="20"/>
        </w:rPr>
        <w:t xml:space="preserve">Transitioning from a developmental stage company will require successful completion of a number of steps, many of which are outside of our control and, consequently, we can provide no assurance of our successful and timely transition from a developmental stage company. </w:t>
      </w:r>
    </w:p>
    <w:p>
      <w:pPr>
        <w:pStyle w:val="TextBody"/>
        <w:spacing w:before="90" w:after="0"/>
        <w:rPr>
          <w:rFonts w:ascii="Times New Roman" w:hAnsi="Times New Roman"/>
          <w:sz w:val="20"/>
        </w:rPr>
      </w:pPr>
      <w:r>
        <w:rPr>
          <w:rFonts w:ascii="Times New Roman" w:hAnsi="Times New Roman"/>
          <w:sz w:val="20"/>
        </w:rPr>
        <w:t xml:space="preserve">We are a development stage biopharmaceutical company with a limited operating history. To date we have not generated any product revenue and have historically funded our operations through investment capital. Our future growth depends on our ability to emerge from the developmental stage and successfully commercialize or provide for the commercialization of Gencaro and our other product candidates, which in turn, will depend, among other things, on our ability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conduct additional clinical trials and develop and obtain regulatory approval for Gencaro or other product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successfully partner a companion genetic test with the commercial launch of Gencaro;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into a strategic transaction enabling the continued development and commercialization of Gencaro, or alternatively, raise significant additional capital to enable these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pursue additional indications for Gencaro and develop other product candidates, including other cardiovascular therapies;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obtain commercial quantities of Gencaro or other product candidates at acceptable cost levels. </w:t>
            </w:r>
          </w:p>
        </w:tc>
      </w:tr>
    </w:tbl>
    <w:p>
      <w:pPr>
        <w:pStyle w:val="TextBody"/>
        <w:spacing w:before="180" w:after="0"/>
        <w:rPr>
          <w:rFonts w:ascii="Times New Roman" w:hAnsi="Times New Roman"/>
          <w:sz w:val="20"/>
        </w:rPr>
      </w:pPr>
      <w:r>
        <w:rPr>
          <w:rFonts w:ascii="Times New Roman" w:hAnsi="Times New Roman"/>
          <w:sz w:val="20"/>
        </w:rPr>
        <w:t xml:space="preserve">Any one of these factors or other factors discussed in this report could affect our ability to successfully commercialize Gencaro and other product candidates, which could impact our ability to earn sufficient revenues to transition from a developmental stage company and continue our business. </w:t>
      </w:r>
    </w:p>
    <w:p>
      <w:pPr>
        <w:pStyle w:val="TextBody"/>
        <w:spacing w:before="270" w:after="0"/>
        <w:rPr>
          <w:rFonts w:ascii="Times New Roman" w:hAnsi="Times New Roman"/>
          <w:b/>
          <w:i/>
          <w:sz w:val="20"/>
        </w:rPr>
      </w:pPr>
      <w:r>
        <w:rPr>
          <w:rFonts w:ascii="Times New Roman" w:hAnsi="Times New Roman"/>
          <w:b/>
          <w:i/>
          <w:sz w:val="20"/>
        </w:rPr>
        <w:t xml:space="preserve">If approved by the FDA, Gencaro will be entering a competitive marketplace and may not succeed. </w:t>
      </w:r>
    </w:p>
    <w:p>
      <w:pPr>
        <w:pStyle w:val="TextBody"/>
        <w:spacing w:before="90" w:after="0"/>
        <w:rPr>
          <w:rFonts w:ascii="Times New Roman" w:hAnsi="Times New Roman"/>
          <w:sz w:val="20"/>
        </w:rPr>
      </w:pPr>
      <w:r>
        <w:rPr>
          <w:rFonts w:ascii="Times New Roman" w:hAnsi="Times New Roman"/>
          <w:sz w:val="20"/>
        </w:rPr>
        <w:t xml:space="preserve">Gencaro is a new type of beta-blocker and vasodilator being developed for AF. While we anticipate that this drug, if approved, would be the first genetically-targeted cardiovascular drug, and potentially the only beta-blocker approved for AF, Gencaro will be one of a number of successful drugs in the beta-blocker class currently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the market. For example, currently, there are three branded beta-blockers indicated for chronic HF in New York Health Association, or NYHA, class II-IV patients: Toprol-XL (once-a-day formulation), Coreg and Coreg CR (once-a-day). Toprol-XL and Coreg have generic equivalents commercially available in the U.S. (metoprolol succinate and carvedilol, respectively). The price of the generic forms of these drugs will be less than the anticipated price of Gencaro, if approved. As a result, Gencaro may not be successful in competing against these existing drugs. </w:t>
      </w:r>
    </w:p>
    <w:p>
      <w:pPr>
        <w:pStyle w:val="TextBody"/>
        <w:spacing w:before="180" w:after="0"/>
        <w:rPr>
          <w:rFonts w:ascii="Times New Roman" w:hAnsi="Times New Roman"/>
          <w:sz w:val="20"/>
        </w:rPr>
      </w:pPr>
      <w:r>
        <w:rPr>
          <w:rFonts w:ascii="Times New Roman" w:hAnsi="Times New Roman"/>
          <w:sz w:val="20"/>
        </w:rPr>
        <w:t xml:space="preserve">Our commercial opportunity may be reduced or eliminated if competitors develop and commercialize products that are safer, more effective, have fewer side effects, are more convenient or are less expensive than Gencaro. If products with any of these properties are developed, or any of the existing products are better marketed, then prescriptions of Gencaro by physicians and patient use of Gencaro could be significantly reduced or rendered obsolete and noncompetitive. Further, public announcements regarding the development of any such competing drugs could adversely affect the market price of our common stock and the value of our assets. </w:t>
      </w:r>
    </w:p>
    <w:p>
      <w:pPr>
        <w:pStyle w:val="TextBody"/>
        <w:spacing w:before="270" w:after="0"/>
        <w:rPr>
          <w:rFonts w:ascii="Times New Roman" w:hAnsi="Times New Roman"/>
          <w:b/>
          <w:i/>
          <w:sz w:val="20"/>
        </w:rPr>
      </w:pPr>
      <w:r>
        <w:rPr>
          <w:rFonts w:ascii="Times New Roman" w:hAnsi="Times New Roman"/>
          <w:b/>
          <w:i/>
          <w:sz w:val="20"/>
        </w:rPr>
        <w:t xml:space="preserve">Future sales of our products may suffer if they are not accepted in the marketplace by physicians, patients and the medical community. </w:t>
      </w:r>
    </w:p>
    <w:p>
      <w:pPr>
        <w:pStyle w:val="TextBody"/>
        <w:spacing w:before="90" w:after="0"/>
        <w:rPr>
          <w:rFonts w:ascii="Times New Roman" w:hAnsi="Times New Roman"/>
          <w:sz w:val="20"/>
        </w:rPr>
      </w:pPr>
      <w:r>
        <w:rPr>
          <w:rFonts w:ascii="Times New Roman" w:hAnsi="Times New Roman"/>
          <w:sz w:val="20"/>
        </w:rPr>
        <w:t xml:space="preserve">Gencaro or our other product candidates may not gain market acceptance among physicians, patients and the medical community. The degree of market acceptance of Gencaro or our other product candidates will depend on a number of factors, such as its effectiveness and tolerability, as compared with competitive drugs. Also, prevalence and severity of side-effects could negatively affect market acceptance of Gencaro or our other product candidates. Failure to achieve market acceptance of Gencaro would significantly harm our business. </w:t>
      </w:r>
    </w:p>
    <w:p>
      <w:pPr>
        <w:pStyle w:val="TextBody"/>
        <w:spacing w:before="270" w:after="0"/>
        <w:rPr>
          <w:rFonts w:ascii="Times New Roman" w:hAnsi="Times New Roman"/>
          <w:b/>
          <w:i/>
          <w:sz w:val="20"/>
        </w:rPr>
      </w:pPr>
      <w:r>
        <w:rPr>
          <w:rFonts w:ascii="Times New Roman" w:hAnsi="Times New Roman"/>
          <w:b/>
          <w:i/>
          <w:sz w:val="20"/>
        </w:rPr>
        <w:t xml:space="preserve">If we are unable to obtain acceptable prices or adequate reimbursement from third-party payors for Gencaro, or any other product candidates that we may seek to commercialize, then our revenues and prospects for profitability will suffer. </w:t>
      </w:r>
    </w:p>
    <w:p>
      <w:pPr>
        <w:pStyle w:val="TextBody"/>
        <w:spacing w:before="90" w:after="0"/>
        <w:rPr>
          <w:rFonts w:ascii="Times New Roman" w:hAnsi="Times New Roman"/>
          <w:sz w:val="20"/>
        </w:rPr>
      </w:pPr>
      <w:r>
        <w:rPr>
          <w:rFonts w:ascii="Times New Roman" w:hAnsi="Times New Roman"/>
          <w:sz w:val="20"/>
        </w:rPr>
        <w:t xml:space="preserve">Our or any strategic partners ability to commercialize Gencaro, or any other product candidates that we may seek to commercialize, is highly dependent on the extent to which coverage and reimbursement for these product candidates will be available from: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governmental payors, such as Medicare and Medicaid;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 health insurers, including managed-care organizations;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third-party payors. </w:t>
            </w:r>
          </w:p>
        </w:tc>
      </w:tr>
    </w:tbl>
    <w:p>
      <w:pPr>
        <w:pStyle w:val="TextBody"/>
        <w:spacing w:before="180" w:after="0"/>
        <w:rPr>
          <w:rFonts w:ascii="Times New Roman" w:hAnsi="Times New Roman"/>
          <w:sz w:val="20"/>
        </w:rPr>
      </w:pPr>
      <w:r>
        <w:rPr>
          <w:rFonts w:ascii="Times New Roman" w:hAnsi="Times New Roman"/>
          <w:sz w:val="20"/>
        </w:rPr>
        <w:t xml:space="preserve">Many patients will not be capable of paying for our potential products themselves and will rely on third-party payors to pay for their medical needs. A primary current trend in the U.S. health care industry is toward cost containment. Large private payors, managed-care organizations, group purchasing organizations and similar organizations are exerting increasing influence on decisions regarding the use of, and reimbursement levels for, particular treatments. Such third-party payors, including Medicare, are challenging the prices charged for medical products and services, and many third-party payors limit reimbursement for newly approved health care products. </w:t>
      </w:r>
    </w:p>
    <w:p>
      <w:pPr>
        <w:pStyle w:val="TextBody"/>
        <w:spacing w:before="180" w:after="0"/>
        <w:rPr>
          <w:rFonts w:ascii="Times New Roman" w:hAnsi="Times New Roman"/>
          <w:sz w:val="20"/>
        </w:rPr>
      </w:pPr>
      <w:r>
        <w:rPr>
          <w:rFonts w:ascii="Times New Roman" w:hAnsi="Times New Roman"/>
          <w:sz w:val="20"/>
        </w:rPr>
        <w:t xml:space="preserve">Cost-control initiatives could decrease the price we might establish for products, which could result in product revenues lower than anticipated. If the prices for our product candidates decrease, or if governmental and other third-party payors do not provide adequate coverage and reimbursement levels, then our revenue and prospects for profitability will suffer. </w:t>
      </w:r>
    </w:p>
    <w:p>
      <w:pPr>
        <w:pStyle w:val="TextBody"/>
        <w:spacing w:before="270" w:after="0"/>
        <w:rPr>
          <w:rFonts w:ascii="Times New Roman" w:hAnsi="Times New Roman"/>
          <w:b/>
          <w:i/>
          <w:sz w:val="20"/>
        </w:rPr>
      </w:pPr>
      <w:r>
        <w:rPr>
          <w:rFonts w:ascii="Times New Roman" w:hAnsi="Times New Roman"/>
          <w:b/>
          <w:i/>
          <w:sz w:val="20"/>
        </w:rPr>
        <w:t xml:space="preserve">Health care reform measures could materially and adversely affect our business. </w:t>
      </w:r>
    </w:p>
    <w:p>
      <w:pPr>
        <w:pStyle w:val="TextBody"/>
        <w:spacing w:before="90" w:after="0"/>
        <w:rPr>
          <w:rFonts w:ascii="Times New Roman" w:hAnsi="Times New Roman"/>
          <w:sz w:val="20"/>
        </w:rPr>
      </w:pPr>
      <w:r>
        <w:rPr>
          <w:rFonts w:ascii="Times New Roman" w:hAnsi="Times New Roman"/>
          <w:sz w:val="20"/>
        </w:rPr>
        <w:t xml:space="preserve">The business and financial condition of pharmaceutical and biotechnology companies are affected by the efforts of governmental and third-party payors to contain or reduce the costs of health care. The U.S. Congress has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enacted legislation to reform the health care system. While we anticipate that this legislation may, over time, increase the number of patients who have insurance coverage for pharmaceutical products, it also imposes cost containment measures that may adversely affect the amount of reimbursement for pharmaceutical products. These measures include increasing the minimum rebates for products covered by Medicaid programs and extending such rebates to drugs dispensed to Medicaid beneficiaries enrolled in Medicaid managed care organizations as well as expansion of the 340(B) Public Health Services drug discount program. In addition, such legislation contains a number of provisions designed to generate the revenues necessary to fund the coverage expansion, including new fees or taxes on certain health-related industries, including medical device manufacturers. Beginning in 2013, each medical device manufacturer will have to pay an excise tax (or sales tax) in an amount equal to 2.3% of the price for which such manufacturer sells its medical devices. Such excise taxes may impact any potential sales of the Gencaro Test if it is approved for marketing.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to see continued efforts to reduce healthcare costs in international markets. </w:t>
      </w:r>
    </w:p>
    <w:p>
      <w:pPr>
        <w:pStyle w:val="TextBody"/>
        <w:spacing w:before="180" w:after="0"/>
        <w:rPr>
          <w:rFonts w:ascii="Times New Roman" w:hAnsi="Times New Roman"/>
          <w:sz w:val="20"/>
        </w:rPr>
      </w:pPr>
      <w:r>
        <w:rPr>
          <w:rFonts w:ascii="Times New Roman" w:hAnsi="Times New Roman"/>
          <w:sz w:val="20"/>
        </w:rPr>
        <w:t xml:space="preserve">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drugs. It is likely that federal and state legislatures and health agencies will continue to focus on additional health care reform in the future although we are unable to predict what additional legislation or regulation, if any, relating to the health care industry or third-party coverage and reimbursement may be enacted in the future or what effect such legislation or regulation would have on our business. We or any strategic partners ability to commercialize Gencaro, or any other product candidates that we may seek to commercialize, is highly dependent on the extent to which coverage and reimbursement for these product candidates will be available from government payors, such as Medicare and Medicaid, private health insurers, including managed care organizations, and other third-party payors, and any change in reimbursement levels could materially and adversely affect our business. Further, the pendency or approval of future proposals or reforms could result in a decrease in our stock price or limit our ability to raise capital or to obtain strategic partnerships or licenses. </w:t>
      </w:r>
    </w:p>
    <w:p>
      <w:pPr>
        <w:pStyle w:val="TextBody"/>
        <w:spacing w:before="270" w:after="0"/>
        <w:rPr>
          <w:rFonts w:ascii="Times New Roman" w:hAnsi="Times New Roman"/>
          <w:b/>
          <w:i/>
          <w:sz w:val="20"/>
        </w:rPr>
      </w:pPr>
      <w:r>
        <w:rPr>
          <w:rFonts w:ascii="Times New Roman" w:hAnsi="Times New Roman"/>
          <w:b/>
          <w:i/>
          <w:sz w:val="20"/>
        </w:rPr>
        <w:t xml:space="preserve">Our competitors may be better positioned in the marketplace and thereby may be more successful than us at developing, manufacturing and marketing approved products. </w:t>
      </w:r>
    </w:p>
    <w:p>
      <w:pPr>
        <w:pStyle w:val="TextBody"/>
        <w:spacing w:before="90" w:after="0"/>
        <w:rPr>
          <w:rFonts w:ascii="Times New Roman" w:hAnsi="Times New Roman"/>
          <w:sz w:val="20"/>
        </w:rPr>
      </w:pPr>
      <w:r>
        <w:rPr>
          <w:rFonts w:ascii="Times New Roman" w:hAnsi="Times New Roman"/>
          <w:sz w:val="20"/>
        </w:rPr>
        <w:t xml:space="preserve">Many of our competitors currently have significantly greater financial resources and expertise in conducting clinical trials, obtaining regulatory approvals, managing manufacturing and marketing approved products than us. Other early-stage companies may also prove to be significant competitors, particularly through collaborative arrangements with large and established companies. In addition, these third parties compete with us in recruiting and retaining qualified scientific and management personnel, establishing clinical trial sites and patient registration for clinical trials, as well as in acquiring therapies and therapy licenses complementary to our programs or advantageous to our business. We expect that our ability to compete effectively will depend upon our ability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successfully and rapidly complete clinical trials for any product candidates and obtain all requisite regulatory approvals in a cost-effective manner;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build an adequate sales and marketing infrastructure, raise additional funding, or enter into strategic transactions enabling the commercialization of our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 competitive formulations of our product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attract and retain key personnel;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identify and obtain other product candidates on commercially reasonable terms.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If we fail to identify and license or acquire other products or product candidates, then we may be unable to expand our business, and the acquisition or licensing of other products or product candidates may put a strain on our operations and will likely require us to seek additional financing. </w:t>
      </w:r>
    </w:p>
    <w:p>
      <w:pPr>
        <w:pStyle w:val="TextBody"/>
        <w:spacing w:before="90" w:after="0"/>
        <w:rPr>
          <w:rFonts w:ascii="Times New Roman" w:hAnsi="Times New Roman"/>
          <w:sz w:val="20"/>
        </w:rPr>
      </w:pPr>
      <w:r>
        <w:rPr>
          <w:rFonts w:ascii="Times New Roman" w:hAnsi="Times New Roman"/>
          <w:sz w:val="20"/>
        </w:rPr>
        <w:t xml:space="preserve">One of our strategies is to license or acquire clinical-stage products or product candidates and further develop them for commercialization. The market for licensing and acquiring products and product candidates is intensely competitive and many of our competitors may have greater resources than us. If we undertake any additional acquisitions, whether of product candidates or other biopharmaceutical companies, the process of integrating an acquired product candidate or complementary company into our business may put a strain on our operations, divert personnel, financial resources and managements attention. In 2012, we expect our research and development activities will be dedicated to Gencaro. If we are not able to substantially expand our research and development efforts, or identify, or license or acquire other products or product candidates or complete future acquisitions, then we will likely be unable expand our pipeline of product candidates. In addition, any future acquisition would give rise to additional operating costs and will likely require us to seek additional financing. Future acquisitions could result in additional issuances of equity securities that would dilute the ownership of existing stockholders. Future acquisitions could also result in the incurrence of debt, contingent liabilities or the amortization of expenses related to other intangible assets, any of which could adversely affect our operating results. </w:t>
      </w:r>
    </w:p>
    <w:p>
      <w:pPr>
        <w:pStyle w:val="TextBody"/>
        <w:spacing w:before="270" w:after="0"/>
        <w:rPr>
          <w:rFonts w:ascii="Times New Roman" w:hAnsi="Times New Roman"/>
          <w:b/>
          <w:i/>
          <w:sz w:val="20"/>
        </w:rPr>
      </w:pPr>
      <w:r>
        <w:rPr>
          <w:rFonts w:ascii="Times New Roman" w:hAnsi="Times New Roman"/>
          <w:b/>
          <w:i/>
          <w:sz w:val="20"/>
        </w:rPr>
        <w:t xml:space="preserve">We would be subject to applicable regulatory approval requirements of the foreign countries in which we market our products, which are costly and may prevent or delay us from marketing our products in those countries. </w:t>
      </w:r>
    </w:p>
    <w:p>
      <w:pPr>
        <w:pStyle w:val="TextBody"/>
        <w:spacing w:before="90" w:after="0"/>
        <w:rPr>
          <w:rFonts w:ascii="Times New Roman" w:hAnsi="Times New Roman"/>
          <w:sz w:val="20"/>
        </w:rPr>
      </w:pPr>
      <w:r>
        <w:rPr>
          <w:rFonts w:ascii="Times New Roman" w:hAnsi="Times New Roman"/>
          <w:sz w:val="20"/>
        </w:rPr>
        <w:t xml:space="preserve">In addition to regulatory requirements in the United States, we would be subject to the regulatory approval requirements in each foreign country where we market our products. In addition, we might be required to identify one or more collaborators in these foreign countries to develop, seek approval for and manufacture our products and any companion genetic test for Gencaro. If we decide to pursue regulatory approvals and commercialization of our product candidates internationally, we may not be able to obtain the required foreign regulatory approvals on a timely basis, if at all, and any failure to do so may cause us to incur additional costs or prevent us from marketing our products in foreign countries, which may have a material adverse effect on our business, financial condition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If our internal control over financial reporting is not considered effective, our business and stock price could be adversely affected. </w:t>
      </w:r>
    </w:p>
    <w:p>
      <w:pPr>
        <w:pStyle w:val="TextBody"/>
        <w:spacing w:before="90" w:after="0"/>
        <w:rPr>
          <w:rFonts w:ascii="Times New Roman" w:hAnsi="Times New Roman"/>
          <w:sz w:val="20"/>
        </w:rPr>
      </w:pPr>
      <w:r>
        <w:rPr>
          <w:rFonts w:ascii="Times New Roman" w:hAnsi="Times New Roman"/>
          <w:sz w:val="20"/>
        </w:rPr>
        <w:t xml:space="preserve">Section 404 of the Sarbanes-Oxley Act of 2002 requires us to evaluate the effectiveness of our internal control over financial reporting as of the end of each fiscal year, and to include a management report assessing the effectiveness of our internal control over financial reporting in our annual report on Form 10-K for that fiscal year. Our management, including our chief executive officer and chief financial officer, does not expect that our internal control over financial reporting will prevent all error and all fraud. During the first quarter of 2011 there was a reduction in our workforce which included personnel involved in financial reporting and our internal control processes. Though the process and design of our internal controls over financial reporting have not been altered, the reduction in staff may have limited our ability to properly segregate internal control procedures which could result in deficiencies or material weaknesses in our internal controls in the future.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fraud may occur and not be detected. We cannot assure you that we or our independent registered public accounting firm will not identify a material weakness in our internal control over financial reporting in the future. A material weakness in our internal control over financial reporting would require management to consider our internal control over financial reporting as ineffective. If our internal control over financial reporting is not considered effective, we may experience a loss of public confidence, which could have an adverse effect on our business and on the market price of our common stock. </w:t>
      </w:r>
    </w:p>
    <w:p>
      <w:pPr>
        <w:pStyle w:val="TextBody"/>
        <w:spacing w:before="270" w:after="0"/>
        <w:rPr>
          <w:rFonts w:ascii="Times New Roman" w:hAnsi="Times New Roman"/>
          <w:b/>
          <w:sz w:val="20"/>
        </w:rPr>
      </w:pPr>
      <w:r>
        <w:rPr>
          <w:rFonts w:ascii="Times New Roman" w:hAnsi="Times New Roman"/>
          <w:b/>
          <w:sz w:val="20"/>
        </w:rPr>
        <w:t xml:space="preserve">Risks Related to Intellectual Property and Other Legal Matters </w:t>
      </w:r>
    </w:p>
    <w:p>
      <w:pPr>
        <w:pStyle w:val="TextBody"/>
        <w:spacing w:before="90" w:after="0"/>
        <w:rPr>
          <w:rFonts w:ascii="Times New Roman" w:hAnsi="Times New Roman"/>
          <w:b/>
          <w:i/>
          <w:sz w:val="20"/>
        </w:rPr>
      </w:pPr>
      <w:r>
        <w:rPr>
          <w:rFonts w:ascii="Times New Roman" w:hAnsi="Times New Roman"/>
          <w:b/>
          <w:i/>
          <w:sz w:val="20"/>
        </w:rPr>
        <w:t xml:space="preserve">If product liability lawsuits are successfully brought against us, then we will incur substantial liabilities and may be required to limit commercialization of Gencaro or other product candidates. </w:t>
      </w:r>
    </w:p>
    <w:p>
      <w:pPr>
        <w:pStyle w:val="TextBody"/>
        <w:spacing w:before="90" w:after="0"/>
        <w:rPr>
          <w:rFonts w:ascii="Times New Roman" w:hAnsi="Times New Roman"/>
          <w:sz w:val="20"/>
        </w:rPr>
      </w:pPr>
      <w:r>
        <w:rPr>
          <w:rFonts w:ascii="Times New Roman" w:hAnsi="Times New Roman"/>
          <w:sz w:val="20"/>
        </w:rPr>
        <w:t xml:space="preserve">We face product liability exposure related to the testing of our product candidates in human clinical trials, and may face exposure to claims by an even greater number of persons once we begin marketing and distributing our products commercially. If we cannot successfully defend against product liability claims, then we will incur substantial liabilities. </w:t>
      </w:r>
    </w:p>
    <w:p>
      <w:pPr>
        <w:pStyle w:val="TextBody"/>
        <w:spacing w:before="180" w:after="0"/>
        <w:rPr>
          <w:rFonts w:ascii="Times New Roman" w:hAnsi="Times New Roman"/>
          <w:sz w:val="20"/>
        </w:rPr>
      </w:pPr>
      <w:r>
        <w:rPr>
          <w:rFonts w:ascii="Times New Roman" w:hAnsi="Times New Roman"/>
          <w:sz w:val="20"/>
        </w:rPr>
        <w:t xml:space="preserve">Regardless of merit or eventual outcome, liability claims may result in: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decreased demand for our products and product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injury to our reputation;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costs of related litigation;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substantial monetary awards to patients and others;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loss of revenues;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inability to commercialize our products and product candidates. </w:t>
            </w:r>
          </w:p>
        </w:tc>
      </w:tr>
    </w:tbl>
    <w:p>
      <w:pPr>
        <w:pStyle w:val="TextBody"/>
        <w:spacing w:before="180" w:after="0"/>
        <w:rPr>
          <w:rFonts w:ascii="Times New Roman" w:hAnsi="Times New Roman"/>
          <w:sz w:val="20"/>
        </w:rPr>
      </w:pPr>
      <w:r>
        <w:rPr>
          <w:rFonts w:ascii="Times New Roman" w:hAnsi="Times New Roman"/>
          <w:sz w:val="20"/>
        </w:rPr>
        <w:t xml:space="preserve">We have obtained limited product liability insurance coverage. Such coverage, however, may not be adequate or may not continue to be available to us in sufficient amounts or at an acceptable cost, or at all. We may not be able to obtain commercially reasonable product liability insurance for any product candidate. </w:t>
      </w:r>
    </w:p>
    <w:p>
      <w:pPr>
        <w:pStyle w:val="TextBody"/>
        <w:spacing w:before="270" w:after="0"/>
        <w:rPr>
          <w:rFonts w:ascii="Times New Roman" w:hAnsi="Times New Roman"/>
          <w:b/>
          <w:i/>
          <w:sz w:val="20"/>
        </w:rPr>
      </w:pPr>
      <w:r>
        <w:rPr>
          <w:rFonts w:ascii="Times New Roman" w:hAnsi="Times New Roman"/>
          <w:b/>
          <w:i/>
          <w:sz w:val="20"/>
        </w:rPr>
        <w:t xml:space="preserve">Defending against claims relating to improper handling, storage or disposal of hazardous chemicals, radioactive or biological materials could be time consuming and expensive. </w:t>
      </w:r>
    </w:p>
    <w:p>
      <w:pPr>
        <w:pStyle w:val="TextBody"/>
        <w:spacing w:before="90" w:after="0"/>
        <w:rPr>
          <w:rFonts w:ascii="Times New Roman" w:hAnsi="Times New Roman"/>
          <w:sz w:val="20"/>
        </w:rPr>
      </w:pPr>
      <w:r>
        <w:rPr>
          <w:rFonts w:ascii="Times New Roman" w:hAnsi="Times New Roman"/>
          <w:sz w:val="20"/>
        </w:rPr>
        <w:t xml:space="preserve">Our research and development of product candidates may involve the controlled use of hazardous materials, including chemicals, radioactive and biological materials. We cannot eliminate the risk of accidental contamination or discharge and any resultant injury from the materials. </w:t>
      </w:r>
    </w:p>
    <w:p>
      <w:pPr>
        <w:pStyle w:val="TextBody"/>
        <w:spacing w:before="180" w:after="0"/>
        <w:rPr>
          <w:rFonts w:ascii="Times New Roman" w:hAnsi="Times New Roman"/>
          <w:sz w:val="20"/>
        </w:rPr>
      </w:pPr>
      <w:r>
        <w:rPr>
          <w:rFonts w:ascii="Times New Roman" w:hAnsi="Times New Roman"/>
          <w:sz w:val="20"/>
        </w:rPr>
        <w:t xml:space="preserve">Various laws and regulations govern the use, manufacture, storage, handling and disposal of hazardous materials. We may be sued or be required to pay fines for any injury or contamination that results from our use or the use by third parties of these materials. Compliance with environmental laws and regulations may be expensive, and current or future environmental regulations may impair our research, development and production efforts. </w:t>
      </w:r>
    </w:p>
    <w:p>
      <w:pPr>
        <w:pStyle w:val="TextBody"/>
        <w:spacing w:before="270" w:after="0"/>
        <w:rPr>
          <w:rFonts w:ascii="Times New Roman" w:hAnsi="Times New Roman"/>
          <w:b/>
          <w:i/>
          <w:sz w:val="20"/>
        </w:rPr>
      </w:pPr>
      <w:r>
        <w:rPr>
          <w:rFonts w:ascii="Times New Roman" w:hAnsi="Times New Roman"/>
          <w:b/>
          <w:i/>
          <w:sz w:val="20"/>
        </w:rPr>
        <w:t xml:space="preserve">The loss of any rights to market key products would significantly impair our operating results. </w:t>
      </w:r>
    </w:p>
    <w:p>
      <w:pPr>
        <w:pStyle w:val="TextBody"/>
        <w:spacing w:before="90" w:after="0"/>
        <w:rPr>
          <w:rFonts w:ascii="Times New Roman" w:hAnsi="Times New Roman"/>
          <w:sz w:val="20"/>
        </w:rPr>
      </w:pPr>
      <w:r>
        <w:rPr>
          <w:rFonts w:ascii="Times New Roman" w:hAnsi="Times New Roman"/>
          <w:sz w:val="20"/>
        </w:rPr>
        <w:t xml:space="preserve">We have licensed from CPEC, who has licensed rights in Gencaro from Bristol Meyers Squibb (BMS) the exclusive rights to Gencaro for all therapeutic and diagnostic uses in any country until the later of (i) 10 years from the first commercial sale of Gencaro in such country, or (ii) the termination of our commercial exclusivity in such country. This license includes a sublicense to us from BMS. We are obligated to use commercially reasonable efforts to develop and commercialize Gencaro, including obtaining regulatory approvals. Our ability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develop and commercialize Gencaro is dependent on numerous factors, including some factors that are outside of our control. CPEC has the right to terminate our license if we materially breach our obligations under the license agreement and fail to cure any such breach within the terms of the license. </w:t>
      </w:r>
    </w:p>
    <w:p>
      <w:pPr>
        <w:pStyle w:val="TextBody"/>
        <w:spacing w:before="180" w:after="0"/>
        <w:rPr>
          <w:rFonts w:ascii="Times New Roman" w:hAnsi="Times New Roman"/>
          <w:sz w:val="20"/>
        </w:rPr>
      </w:pPr>
      <w:r>
        <w:rPr>
          <w:rFonts w:ascii="Times New Roman" w:hAnsi="Times New Roman"/>
          <w:sz w:val="20"/>
        </w:rPr>
        <w:t xml:space="preserve">If our license agreement with CPEC is terminated for reasons related to non-payment of fees, or for any other breach, then we would have no further rights to develop and commercialize Gencaro for any indication. The termination of this license, or of any other agreement which enables us to market a key product or product candidate, could significantly and adversely affect our business. </w:t>
      </w:r>
    </w:p>
    <w:p>
      <w:pPr>
        <w:pStyle w:val="TextBody"/>
        <w:spacing w:before="180" w:after="0"/>
        <w:rPr>
          <w:rFonts w:ascii="Times New Roman" w:hAnsi="Times New Roman"/>
          <w:sz w:val="20"/>
        </w:rPr>
      </w:pPr>
      <w:r>
        <w:rPr>
          <w:rFonts w:ascii="Times New Roman" w:hAnsi="Times New Roman"/>
          <w:sz w:val="20"/>
        </w:rPr>
        <w:t xml:space="preserve">Certain intellectual property licensed by us is the subject of additional licensing arrangements to which the party that has licensed rights to us is subject. If such parties were to breach the terms of such licenses or such licenses were otherwise to terminate, our and our partners rights to use such technology and develop and commercialize their products such as the Gencaro Test may terminate and our business would be materially harmed. </w:t>
      </w:r>
    </w:p>
    <w:p>
      <w:pPr>
        <w:pStyle w:val="TextBody"/>
        <w:spacing w:before="270" w:after="0"/>
        <w:rPr>
          <w:rFonts w:ascii="Times New Roman" w:hAnsi="Times New Roman"/>
          <w:b/>
          <w:i/>
          <w:sz w:val="20"/>
        </w:rPr>
      </w:pPr>
      <w:r>
        <w:rPr>
          <w:rFonts w:ascii="Times New Roman" w:hAnsi="Times New Roman"/>
          <w:b/>
          <w:i/>
          <w:sz w:val="20"/>
        </w:rPr>
        <w:t xml:space="preserve">Third parties may own or control patents or patent applications that we may be required to license to commercialize our product candidates or that could result in litigation that would be costly and time consuming. </w:t>
      </w:r>
    </w:p>
    <w:p>
      <w:pPr>
        <w:pStyle w:val="TextBody"/>
        <w:spacing w:before="90" w:after="0"/>
        <w:rPr>
          <w:rFonts w:ascii="Times New Roman" w:hAnsi="Times New Roman"/>
          <w:sz w:val="20"/>
        </w:rPr>
      </w:pPr>
      <w:r>
        <w:rPr>
          <w:rFonts w:ascii="Times New Roman" w:hAnsi="Times New Roman"/>
          <w:sz w:val="20"/>
        </w:rPr>
        <w:t xml:space="preserve">Our or any strategic partners ability to commercialize Gencaro and other product candidates depends upon our ability to develop, manufacture, market and sell these drugs without infringing the proprietary rights of third parties. A number of pharmaceutical and biotechnology companies, universities and research institutions have or may be granted patents that cover technologies similar to the technologies owned by or licensed to us. We may choose to seek, or be required to seek, licenses under third party patents, which would likely require the payment of license fees or royalties or both. We may also be unaware of existing patents that may be infringed by Gencaro, the genetic testing we intend to use in connection with Gencaro or our other product candidates. Because patent applications can take many years to issue, there may be other currently pending applications that may later result in issued patents that are infringed by Gencaro or our other product candidates. Moreover, a license may not be available to us on commercially reasonable terms, or at all. </w:t>
      </w:r>
    </w:p>
    <w:p>
      <w:pPr>
        <w:pStyle w:val="TextBody"/>
        <w:spacing w:before="180" w:after="0"/>
        <w:rPr>
          <w:rFonts w:ascii="Times New Roman" w:hAnsi="Times New Roman"/>
          <w:sz w:val="20"/>
        </w:rPr>
      </w:pPr>
      <w:r>
        <w:rPr>
          <w:rFonts w:ascii="Times New Roman" w:hAnsi="Times New Roman"/>
          <w:sz w:val="20"/>
        </w:rPr>
        <w:t xml:space="preserve">There is a substantial amount of litigation involving patent and other intellectual property rights in the biotechnology and biopharmaceutical industries generally. If a third party claims that we are infringing on its technology, then our business and results of operations could be harmed by a number of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infringement and other intellectual property claims, even if without merit, are expensive and time-consuming to litigate and can divert managements attention from our core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monetary damage awards for past infringement can be substantial;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court may prohibit us from selling or licensing product candidates unless the patent holder chooses to license the patent to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 license is available from a patent holder, we may have to pay substantial royalties. </w:t>
            </w:r>
          </w:p>
        </w:tc>
      </w:tr>
    </w:tbl>
    <w:p>
      <w:pPr>
        <w:pStyle w:val="TextBody"/>
        <w:spacing w:before="180" w:after="0"/>
        <w:rPr>
          <w:rFonts w:ascii="Times New Roman" w:hAnsi="Times New Roman"/>
          <w:sz w:val="20"/>
        </w:rPr>
      </w:pPr>
      <w:r>
        <w:rPr>
          <w:rFonts w:ascii="Times New Roman" w:hAnsi="Times New Roman"/>
          <w:sz w:val="20"/>
        </w:rPr>
        <w:t xml:space="preserve">We may also be forced to bring an infringement action if we believe that a competitor is infringing our protected intellectual property. Any such litigation will be costly, time-consuming and divert managements attention, and the outcome of any such litigation may not be favorable to us. </w:t>
      </w:r>
    </w:p>
    <w:p>
      <w:pPr>
        <w:pStyle w:val="TextBody"/>
        <w:spacing w:before="270" w:after="0"/>
        <w:rPr>
          <w:rFonts w:ascii="Times New Roman" w:hAnsi="Times New Roman"/>
          <w:b/>
          <w:i/>
          <w:sz w:val="20"/>
        </w:rPr>
      </w:pPr>
      <w:r>
        <w:rPr>
          <w:rFonts w:ascii="Times New Roman" w:hAnsi="Times New Roman"/>
          <w:b/>
          <w:i/>
          <w:sz w:val="20"/>
        </w:rPr>
        <w:t xml:space="preserve">Our intellectual property rights may not preclude competitors from developing competing products and our business may suffer. </w:t>
      </w:r>
    </w:p>
    <w:p>
      <w:pPr>
        <w:pStyle w:val="TextBody"/>
        <w:spacing w:before="90" w:after="0"/>
        <w:rPr>
          <w:rFonts w:ascii="Times New Roman" w:hAnsi="Times New Roman"/>
          <w:sz w:val="20"/>
        </w:rPr>
      </w:pPr>
      <w:r>
        <w:rPr>
          <w:rFonts w:ascii="Times New Roman" w:hAnsi="Times New Roman"/>
          <w:sz w:val="20"/>
        </w:rPr>
        <w:t xml:space="preserve">Our competitive success will depend, in part, on our ability to obtain and maintain patent protection for our inventions, technologies and discoveries, including intellectual property that we license. The patent positions of biotechnology companies involve complex legal and factual questions, and we cannot be certain that our patents and licenses will successfully preclude others from using our technology. Consequently, we cannot be certain that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any of our patents will provide significant market protection or will not be circumvented or challenged and found to be unenforceable or invalid. In some cases, patent applications in the U.S. and certain other jurisdictions are maintained in secrecy until patents issue,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U.S. Patent and Trademark Office to determine priority of invention or in opposition proceedings in a foreign patent office, any of which could result in substantial cost to us, even if the eventual outcome is favorable. There can be no assurance that a court of competent jurisdiction would hold any claims in any issued patent to be valid. An adverse outcome could subject us to significant liabilities to third parties, require disputed rights to be licensed from third parties or require us to cease using such technology. Regardless of merit, the listing of patents in the FDA Orange Book for Gencaro may be challenged as being improperly listed. We may have to defend against such claims and possible associated antitrust issues. We could also incur substantial costs in seeking to enforce our proprietary rights against infringement. </w:t>
      </w:r>
    </w:p>
    <w:p>
      <w:pPr>
        <w:pStyle w:val="TextBody"/>
        <w:pBdr/>
        <w:spacing w:before="180" w:after="0"/>
        <w:rPr/>
      </w:pPr>
      <w:r>
        <w:rPr>
          <w:rFonts w:ascii="Times New Roman" w:hAnsi="Times New Roman"/>
          <w:sz w:val="20"/>
        </w:rPr>
        <w:t>While the composition of matter patents on the compound that comprises Gencaro have expired, we hold the intellectual property concerning the interaction of Gencaro with the polymorphisms of the ß</w:t>
      </w:r>
      <w:r>
        <w:rPr>
          <w:rFonts w:ascii="Times New Roman" w:hAnsi="Times New Roman"/>
          <w:sz w:val="14"/>
        </w:rPr>
        <w:t>1</w:t>
      </w:r>
      <w:r>
        <w:rPr/>
        <w:t xml:space="preserve"> </w:t>
      </w:r>
      <w:r>
        <w:rPr>
          <w:rFonts w:ascii="Times New Roman" w:hAnsi="Times New Roman"/>
          <w:sz w:val="20"/>
        </w:rPr>
        <w:t xml:space="preserve">and </w:t>
      </w:r>
      <w:r>
        <w:rPr>
          <w:rFonts w:ascii="Times New Roman" w:hAnsi="Times New Roman"/>
          <w:sz w:val="14"/>
        </w:rPr>
        <w:t>2C</w:t>
      </w:r>
      <w:r>
        <w:rPr/>
        <w:t xml:space="preserve"> </w:t>
      </w:r>
      <w:r>
        <w:rPr>
          <w:rFonts w:ascii="Times New Roman" w:hAnsi="Times New Roman"/>
          <w:sz w:val="20"/>
        </w:rPr>
        <w:t xml:space="preserve">receptors. We have obtained patents that claim methods involving Gencaro after a patients receptor genotype has been determined. Our NDA requested a label that will include a claim that efficacy varies based on receptor genotype and a recommendation in the prescribing information that prospective patients be tested for their receptor genotype. We believe that under applicable law, a generic bucindolol label would likely be required to include this recommendation as it pertains directly to the safe or efficacious use of the drug. Such a label may be considered as inducing infringement, carrying the same liability as direct infringement. If the label with the genotype information for Gencaro is not approved, or if generic labels are not required to copy the approved label, competitors could have an easier path to introduce competing products and our business may suffer. The approved label may not contain language covered by the patents, or we may be unsuccessful in enforcing them. </w:t>
      </w:r>
    </w:p>
    <w:p>
      <w:pPr>
        <w:pStyle w:val="TextBody"/>
        <w:spacing w:before="180" w:after="0"/>
        <w:rPr>
          <w:rFonts w:ascii="Times New Roman" w:hAnsi="Times New Roman"/>
          <w:sz w:val="20"/>
        </w:rPr>
      </w:pPr>
      <w:r>
        <w:rPr>
          <w:rFonts w:ascii="Times New Roman" w:hAnsi="Times New Roman"/>
          <w:sz w:val="20"/>
        </w:rPr>
        <w:t xml:space="preserve">We may not be able to effectively protect our intellectual property rights in some foreign countries, as our patents are limited by jurisdiction and many countries do not offer the same level of legal protection for intellectual property as the U.S. </w:t>
      </w:r>
    </w:p>
    <w:p>
      <w:pPr>
        <w:pStyle w:val="TextBody"/>
        <w:spacing w:before="180" w:after="0"/>
        <w:rPr>
          <w:rFonts w:ascii="Times New Roman" w:hAnsi="Times New Roman"/>
          <w:sz w:val="20"/>
        </w:rPr>
      </w:pPr>
      <w:r>
        <w:rPr>
          <w:rFonts w:ascii="Times New Roman" w:hAnsi="Times New Roman"/>
          <w:sz w:val="20"/>
        </w:rPr>
        <w:t xml:space="preserve">We require our employees, consultants, business partners and members of our scientific advisory board to execute confidentiality agreements upon the commencement of employment, consulting or business relationships with us. These agreements provide that all confidential information developed or made known during the course of the relationship with us be kept confidential and not disclosed to third parties except in specific circumstances. In the case of employees, the agreements provide that all inventions resulting from work performed for us, utilizing the property or relating to our business and conceived or completed by the individual during employment shall be our exclusive property to the extent permitted by applicable law. </w:t>
      </w:r>
    </w:p>
    <w:p>
      <w:pPr>
        <w:pStyle w:val="TextBody"/>
        <w:spacing w:before="180" w:after="0"/>
        <w:rPr>
          <w:rFonts w:ascii="Times New Roman" w:hAnsi="Times New Roman"/>
          <w:sz w:val="20"/>
        </w:rPr>
      </w:pPr>
      <w:r>
        <w:rPr>
          <w:rFonts w:ascii="Times New Roman" w:hAnsi="Times New Roman"/>
          <w:sz w:val="20"/>
        </w:rPr>
        <w:t xml:space="preserve">Third parties may breach these and other agreements with us regarding our intellectual property and we may not have adequate remedies for the breach. Third parties could also fail to take necessary steps to protect our licensed intellectual property, which could seriously harm our intellectual property position. </w:t>
      </w:r>
    </w:p>
    <w:p>
      <w:pPr>
        <w:pStyle w:val="TextBody"/>
        <w:spacing w:before="180" w:after="0"/>
        <w:rPr>
          <w:rFonts w:ascii="Times New Roman" w:hAnsi="Times New Roman"/>
          <w:sz w:val="20"/>
        </w:rPr>
      </w:pPr>
      <w:r>
        <w:rPr>
          <w:rFonts w:ascii="Times New Roman" w:hAnsi="Times New Roman"/>
          <w:sz w:val="20"/>
        </w:rPr>
        <w:t xml:space="preserve">If we are not able to protect our proprietary technology, trade secrets and know-how, then our competitors may develop competing products. Any issued patent may not be sufficient to prevent others from competing with us. Further, we have trade secrets relating to Gencaro, and such trade secrets may become known or independently discovered. Our issued patents and those that may issue in the future, or those licensed to us, may be challenged, opposed, invalidated or circumvented, which could allow competitors to market similar products or limit the patent protection term of our product candidates. All of these factors may affect our competitive position.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If the manufacture, use or sale of our products infringe on the intellectual property rights of others, we could face costly litigation, which could cause us to pay substantial damages or licensing fees and limit our ability to sell some or all of our products. </w:t>
      </w:r>
    </w:p>
    <w:p>
      <w:pPr>
        <w:pStyle w:val="TextBody"/>
        <w:spacing w:before="90" w:after="0"/>
        <w:rPr>
          <w:rFonts w:ascii="Times New Roman" w:hAnsi="Times New Roman"/>
          <w:sz w:val="20"/>
        </w:rPr>
      </w:pPr>
      <w:r>
        <w:rPr>
          <w:rFonts w:ascii="Times New Roman" w:hAnsi="Times New Roman"/>
          <w:sz w:val="20"/>
        </w:rPr>
        <w:t xml:space="preserve">Extensive litigation regarding patents and other intellectual property rights has been common in the biopharmaceutical industry. Litigation may be necessary to assert infringement claims, enforce patent rights, protect trade secrets or know-how and determine the enforceability, scope and validity of certain proprietary rights. Litigation may even be necessary to defend disputes of inventorship or ownership of proprietary rights. The defense and prosecution of intellectual property lawsuits, U.S. Patent and Trademark Office interference proceedings, and related legal and administrative proceedings (e.g., a reexamination) in the U.S. and internationally involve complex legal and factual questions. As a result, such proceedings are costly and time-consuming to pursue, and their outcome is uncertain. </w:t>
      </w:r>
    </w:p>
    <w:p>
      <w:pPr>
        <w:pStyle w:val="TextBody"/>
        <w:spacing w:before="180" w:after="0"/>
        <w:rPr>
          <w:rFonts w:ascii="Times New Roman" w:hAnsi="Times New Roman"/>
          <w:sz w:val="20"/>
        </w:rPr>
      </w:pPr>
      <w:r>
        <w:rPr>
          <w:rFonts w:ascii="Times New Roman" w:hAnsi="Times New Roman"/>
          <w:sz w:val="20"/>
        </w:rPr>
        <w:t xml:space="preserve">Regardless of merit or outcome, our involvement in any litigation, interference or other administrative proceedings could cause us to incur substantial expense and could significantly divert the efforts of our technical and management personnel. Any public announcements related to litigation or interference proceedings initiated or threatened against us could cause our stock price to decline. Adverse outcomes in patent litigation may potentially subject us to antitrust litigation which, regardless of the outcome, would adversely affect our business. An adverse determination may subject us to the loss of our proprietary position or to significant liabilities, or require us to seek licenses that may include substantial cost and ongoing royalties. Licenses may not be available from third parties, or may not be obtainable on satisfactory terms. An adverse determination or a failure to obtain necessary licenses may restrict or prevent us from manufacturing and selling our products, if any. These outcomes could materially harm our business, financial condition and results of operations. </w:t>
      </w:r>
    </w:p>
    <w:p>
      <w:pPr>
        <w:pStyle w:val="TextBody"/>
        <w:spacing w:before="270" w:after="0"/>
        <w:rPr>
          <w:rFonts w:ascii="Times New Roman" w:hAnsi="Times New Roman"/>
          <w:b/>
          <w:sz w:val="20"/>
        </w:rPr>
      </w:pPr>
      <w:r>
        <w:rPr>
          <w:rFonts w:ascii="Times New Roman" w:hAnsi="Times New Roman"/>
          <w:b/>
          <w:sz w:val="20"/>
        </w:rPr>
        <w:t xml:space="preserve">Risks Related to Stock Price Volatility </w:t>
      </w:r>
    </w:p>
    <w:p>
      <w:pPr>
        <w:pStyle w:val="TextBody"/>
        <w:spacing w:before="90" w:after="0"/>
        <w:rPr>
          <w:rFonts w:ascii="Times New Roman" w:hAnsi="Times New Roman"/>
          <w:b/>
          <w:i/>
          <w:sz w:val="20"/>
        </w:rPr>
      </w:pPr>
      <w:r>
        <w:rPr>
          <w:rFonts w:ascii="Times New Roman" w:hAnsi="Times New Roman"/>
          <w:b/>
          <w:i/>
          <w:sz w:val="20"/>
        </w:rPr>
        <w:t xml:space="preserve">Our stock price is expected to be volatile. </w:t>
      </w:r>
    </w:p>
    <w:p>
      <w:pPr>
        <w:pStyle w:val="TextBody"/>
        <w:spacing w:before="90" w:after="0"/>
        <w:rPr>
          <w:rFonts w:ascii="Times New Roman" w:hAnsi="Times New Roman"/>
          <w:sz w:val="20"/>
        </w:rPr>
      </w:pPr>
      <w:r>
        <w:rPr>
          <w:rFonts w:ascii="Times New Roman" w:hAnsi="Times New Roman"/>
          <w:sz w:val="20"/>
        </w:rPr>
        <w:t xml:space="preserve">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regulatory status of Gencaro and the Gencaro Test, and whether and when they are approved for sale, if at all, and the labeling or other conditions of use imposed by the FDA;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secure substantial additional funding or complete a strategic transaction or to complete development of and commercialize Gencaro;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potential receipt of government or third party funding to further develop Gencaro or rNAPc2;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results of our future clinical trials and any future NDAs of our current and future product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entry into, or termination of, key agreements, including key strategic alliance agreements;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results and timing of regulatory reviews relating to our product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of any of our product candidates, if approved, to achieve commercial success;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and industry-specific economic conditions that may affect our research and development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results of clinical trials conducted by others on drugs that would compete with our product candidates;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issues in manufacturing our product candidates or any approved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initiation of or material developments in or the conclusion of litigation to enforce or defend any of our intellectual property rights;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loss of key employees;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introduction of technological innovations or new commercial products by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estimates or recommendations by securities analysts, if any, who cover our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sales of our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the structure of health care payment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period-to-period fluctuations in our financial results;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retain the listing of our common stock on the Nasdaq Capital Market. </w:t>
            </w:r>
          </w:p>
        </w:tc>
      </w:tr>
    </w:tbl>
    <w:p>
      <w:pPr>
        <w:pStyle w:val="TextBody"/>
        <w:spacing w:before="180" w:after="0"/>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our common stock. </w:t>
      </w:r>
    </w:p>
    <w:p>
      <w:pPr>
        <w:pStyle w:val="TextBody"/>
        <w:spacing w:before="180" w:after="0"/>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 </w:t>
      </w:r>
    </w:p>
    <w:p>
      <w:pPr>
        <w:pStyle w:val="TextBody"/>
        <w:spacing w:before="270" w:after="0"/>
        <w:rPr>
          <w:rFonts w:ascii="Times New Roman" w:hAnsi="Times New Roman"/>
          <w:b/>
          <w:i/>
          <w:sz w:val="20"/>
        </w:rPr>
      </w:pPr>
      <w:r>
        <w:rPr>
          <w:rFonts w:ascii="Times New Roman" w:hAnsi="Times New Roman"/>
          <w:b/>
          <w:i/>
          <w:sz w:val="20"/>
        </w:rPr>
        <w:t xml:space="preserve">Future sales or the possibility of future sales of our common stock may depress the market price of our common stock. </w:t>
      </w:r>
    </w:p>
    <w:p>
      <w:pPr>
        <w:pStyle w:val="TextBody"/>
        <w:spacing w:before="90" w:after="0"/>
        <w:rPr>
          <w:rFonts w:ascii="Times New Roman" w:hAnsi="Times New Roman"/>
          <w:sz w:val="20"/>
        </w:rPr>
      </w:pPr>
      <w:r>
        <w:rPr>
          <w:rFonts w:ascii="Times New Roman" w:hAnsi="Times New Roman"/>
          <w:sz w:val="20"/>
        </w:rPr>
        <w:t xml:space="preserve">Sales in the public market of substantial amounts of our common stock could depress prevailing market prices of our common stock. As of December 31, 2011, 12,182,999 shares of common stock were outstanding. All of these shares are freely transferable without restriction or further registration under the Securities Act, except for shares held by our directors, officers and other affiliates and unregistered shares held by non-affiliates. The sale of these additional shares, or the perception that such sales may occur, could depress the market price of our common stock. </w:t>
      </w:r>
    </w:p>
    <w:p>
      <w:pPr>
        <w:pStyle w:val="TextBody"/>
        <w:spacing w:before="180" w:after="0"/>
        <w:rPr>
          <w:rFonts w:ascii="Times New Roman" w:hAnsi="Times New Roman"/>
          <w:sz w:val="20"/>
        </w:rPr>
      </w:pPr>
      <w:r>
        <w:rPr>
          <w:rFonts w:ascii="Times New Roman" w:hAnsi="Times New Roman"/>
          <w:sz w:val="20"/>
        </w:rPr>
        <w:t xml:space="preserve">As of December 31, 2011 approximately 2.8 million shares of our common stock were issuable upon the exercise of outstanding warrants, of which 1.5 million were exercisable as of that date and 1.25 million were issued pursuant to our private placement equity transaction completed in December 2011 and will become exercisable on June 22, 2012. Once a warrant is exercised, if the shares of our common stock issued upon the exercise of any such warrant are not available for sale in the open market without further registration under the Securities Act, then the holder can arrange for the resale of shares either by invoking any applicable registration rights, causing the shares to be registered under the Securities Act and thus freely transferable, or by relying on an exemption to the Securities Act. If these registration rights, or similar registration rights that may apply to securities we may issue in the future, are exercised, it could result in additional sales of our common stock in the market, which may have an adverse effect on our stock price. </w:t>
      </w:r>
    </w:p>
    <w:p>
      <w:pPr>
        <w:pStyle w:val="TextBody"/>
        <w:spacing w:before="180" w:after="0"/>
        <w:rPr>
          <w:rFonts w:ascii="Times New Roman" w:hAnsi="Times New Roman"/>
          <w:sz w:val="20"/>
        </w:rPr>
      </w:pPr>
      <w:r>
        <w:rPr>
          <w:rFonts w:ascii="Times New Roman" w:hAnsi="Times New Roman"/>
          <w:sz w:val="20"/>
        </w:rPr>
        <w:t xml:space="preserve">As of December 31, 2011 there were approximately 864,000 shares of our common stock which may be issued upon exercise of outstanding stock options. If and when these options are exercised, such shares will be available for sale in the open market without further registration under the Securities Act. The existence of these outstanding options may negatively affect our ability to complete future equity financings at acceptable prices and on acceptable terms. The exercise of those options, and the prompt resale of shares of our common stock received, may also result in downward pressure on the price of our common stock. </w:t>
      </w:r>
    </w:p>
    <w:p>
      <w:pPr>
        <w:pStyle w:val="TextBody"/>
        <w:spacing w:before="180" w:after="0"/>
        <w:rPr>
          <w:rFonts w:ascii="Times New Roman" w:hAnsi="Times New Roman"/>
          <w:sz w:val="20"/>
        </w:rPr>
      </w:pPr>
      <w:r>
        <w:rPr>
          <w:rFonts w:ascii="Times New Roman" w:hAnsi="Times New Roman"/>
          <w:sz w:val="20"/>
        </w:rPr>
        <w:t xml:space="preserve">In the absence of a significant strategic transaction, we will need to raise significant additional capital to finance our capital requirements, including the research, development and commercialization of our drug products. If future securities offerings occur, they would dilute our current stockholders equity interests and could reduce the market price of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We do not expect to pay cash dividends, and accordingly, stockholders must rely on stock appreciation for any return on their investment. </w:t>
      </w:r>
    </w:p>
    <w:p>
      <w:pPr>
        <w:pStyle w:val="TextBody"/>
        <w:spacing w:before="90" w:after="0"/>
        <w:rPr>
          <w:rFonts w:ascii="Times New Roman" w:hAnsi="Times New Roman"/>
          <w:sz w:val="20"/>
        </w:rPr>
      </w:pPr>
      <w:r>
        <w:rPr>
          <w:rFonts w:ascii="Times New Roman" w:hAnsi="Times New Roman"/>
          <w:sz w:val="20"/>
        </w:rPr>
        <w:t xml:space="preserve">We anticipate that we will retain our earnings, if any, for future growth and therefore do not anticipate paying cash dividends in the future. As a result, only appreciation of the price of our common stock will provide a return to stockholders. Investors seeking cash dividends should not invest in our common stock. </w:t>
      </w:r>
    </w:p>
    <w:p>
      <w:pPr>
        <w:pStyle w:val="TextBody"/>
        <w:spacing w:before="270" w:after="0"/>
        <w:rPr>
          <w:rFonts w:ascii="Times New Roman" w:hAnsi="Times New Roman"/>
          <w:b/>
          <w:i/>
          <w:sz w:val="20"/>
        </w:rPr>
      </w:pPr>
      <w:r>
        <w:rPr>
          <w:rFonts w:ascii="Times New Roman" w:hAnsi="Times New Roman"/>
          <w:b/>
          <w:i/>
          <w:sz w:val="20"/>
        </w:rPr>
        <w:t xml:space="preserve">We have implemented anti-takeover provisions that could discourage, prevent or delay a takeover, even if the acquisition would be beneficial to our stockholders. </w:t>
      </w:r>
    </w:p>
    <w:p>
      <w:pPr>
        <w:pStyle w:val="TextBody"/>
        <w:spacing w:before="90" w:after="0"/>
        <w:rPr>
          <w:rFonts w:ascii="Times New Roman" w:hAnsi="Times New Roman"/>
          <w:sz w:val="20"/>
        </w:rPr>
      </w:pPr>
      <w:r>
        <w:rPr>
          <w:rFonts w:ascii="Times New Roman" w:hAnsi="Times New Roman"/>
          <w:sz w:val="20"/>
        </w:rPr>
        <w:t xml:space="preserve">Provisions of our certificate of incorporation and bylaws, as well as provisions of Delaware law, could make it more difficult for a third party to acquire us, even if doing so would benefit our stockholders. These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establish a classified board of directors so that not all members of our board may be elected at one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authorize the issuance of up to 5 million additional shares of preferred stock that could be issued by our board of directors to increase the number of outstanding shares and hinder a takeover attempt;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prohibit stockholder action by written consent, thereby requiring all stockholder actions to be taken at a meeting of our stockholders;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establish advance notice requirements for nominations for election to our board of directors or for proposing matters that can be acted upon at a stockholder meeting. </w:t>
            </w:r>
          </w:p>
        </w:tc>
      </w:tr>
    </w:tbl>
    <w:p>
      <w:pPr>
        <w:pStyle w:val="TextBody"/>
        <w:spacing w:before="180" w:after="0"/>
        <w:rPr>
          <w:rFonts w:ascii="Times New Roman" w:hAnsi="Times New Roman"/>
          <w:sz w:val="20"/>
        </w:rPr>
      </w:pPr>
      <w:r>
        <w:rPr>
          <w:rFonts w:ascii="Times New Roman" w:hAnsi="Times New Roman"/>
          <w:sz w:val="20"/>
        </w:rPr>
        <w:t xml:space="preserve">Specifically, our certificate of incorporation provides that all stockholder action must be effected at a duly called meeting and not by a written consent. The bylaws provide, however, that our stockholders may call a special meeting of stockholders only upon a request of stockholders owning at least 50% of our outstanding common stock. These provisions of our certificate of incorporation and bylaws could discourage potential acquisition proposals and could delay or prevent a change in control. We designed these provisions to reduce our vulnerability to unsolicited acquisition proposals and to discourage certain tactics that may be used in proxy fights. These provisions, however, could also have the effect of discouraging others from making tender offers for our shares. As a consequence, they also may inhibit fluctuations in the market price of our shares that could result from actual or rumored takeover attempts. Such provisions also may have the effect of preventing changes in our management. </w:t>
      </w:r>
    </w:p>
    <w:p>
      <w:pPr>
        <w:pStyle w:val="TextBody"/>
        <w:spacing w:before="180" w:after="0"/>
        <w:rPr>
          <w:rFonts w:ascii="Times New Roman" w:hAnsi="Times New Roman"/>
          <w:sz w:val="20"/>
        </w:rPr>
      </w:pPr>
      <w:r>
        <w:rPr>
          <w:rFonts w:ascii="Times New Roman" w:hAnsi="Times New Roman"/>
          <w:sz w:val="20"/>
        </w:rPr>
        <w:t xml:space="preserve">We are permitted to issue shares of our preferred stock without stockholder approval upon such terms as our board of directors determines. Therefore, the rights of the holders of our common stock are subject to, and may be adversely affected by, the rights of the holders of our preferred stock that may be issued in the future. In addition, the issuance of preferred stock could have a dilutive effect on the holdings of our current stockholders. </w:t>
      </w:r>
    </w:p>
    <w:p>
      <w:pPr>
        <w:pStyle w:val="TextBody"/>
        <w:spacing w:before="180" w:after="0"/>
        <w:rPr>
          <w:rFonts w:ascii="Times New Roman" w:hAnsi="Times New Roman"/>
          <w:sz w:val="20"/>
        </w:rPr>
      </w:pPr>
      <w:r>
        <w:rPr>
          <w:rFonts w:ascii="Times New Roman" w:hAnsi="Times New Roman"/>
          <w:sz w:val="20"/>
        </w:rPr>
        <w:t xml:space="preserve">We are subject to the Delaware anti-takeover laws regulating corporate takeovers. These anti-takeover laws prevent a Delaware corporation from engaging in a merger or sale of more than 10% of its assets with any stockholder, including all affiliates and associates of the stockholder, who owns 15% or more of the corporations outstanding voting stock, for three years following the date that the stockholder acquired 15% or more of the corporations stock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board of directors approved the transaction where the stockholder acquired 15% or more of the corporations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after the transaction in which the stockholder acquired 15% or more of the corporations stock, the stockholder owned at least 85% of the corporations outstanding voting stock, excluding shares owned by directors, officers and employee stock plans in which employee participants do not have the right to determine confidentially whether shares held under the plan will be tendered in a tender or exchange offer;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or after this date, the merger or sale is approved by the board of directors and the holders of at least two-thirds of the outstanding voting stock that is not owned by the stockholder. </w:t>
            </w:r>
          </w:p>
        </w:tc>
      </w:tr>
    </w:tbl>
    <w:p>
      <w:pPr>
        <w:pStyle w:val="TextBody"/>
        <w:spacing w:before="180" w:after="0"/>
        <w:rPr>
          <w:rFonts w:ascii="Times New Roman" w:hAnsi="Times New Roman"/>
          <w:sz w:val="20"/>
        </w:rPr>
      </w:pPr>
      <w:r>
        <w:rPr>
          <w:rFonts w:ascii="Times New Roman" w:hAnsi="Times New Roman"/>
          <w:sz w:val="20"/>
        </w:rPr>
        <w:t xml:space="preserve">The provisions of our governing documents and current Delaware law may, collectively: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lengthen the time required for a person or entity to acquire control of us through a proxy contest for the election of a majority of our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discourage bids for our common stock at a premium over market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deter efforts to obtain control of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5" w:name="tx280818_3"/>
            <w:bookmarkEnd w:id="5"/>
            <w:r>
              <w:rPr>
                <w:rFonts w:ascii="Times New Roman" w:hAnsi="Times New Roman"/>
                <w:b/>
                <w:sz w:val="20"/>
              </w:rPr>
              <w:t>Item 1B.</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Unresolved Staff Comments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6" w:name="tx280818_4"/>
            <w:bookmarkEnd w:id="6"/>
            <w:r>
              <w:rPr>
                <w:rFonts w:ascii="Times New Roman" w:hAnsi="Times New Roman"/>
                <w:b/>
                <w:sz w:val="20"/>
              </w:rPr>
              <w:t>Item 2.</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Properties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Our headquarters facility consists of approximately 4,500 square feet of office space in Broomfield, Colorado, which is leased until June 2013. We believe that this facility is adequate to meet our current needs.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7" w:name="tx280818_5"/>
            <w:bookmarkEnd w:id="7"/>
            <w:r>
              <w:rPr>
                <w:rFonts w:ascii="Times New Roman" w:hAnsi="Times New Roman"/>
                <w:b/>
                <w:sz w:val="20"/>
              </w:rPr>
              <w:t>Item 3.</w:t>
            </w:r>
          </w:p>
        </w:tc>
        <w:tc>
          <w:tcPr>
            <w:tcW w:w="9287"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Legal Proceedings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8" w:name="tx280818_6"/>
            <w:bookmarkEnd w:id="8"/>
            <w:r>
              <w:rPr>
                <w:rFonts w:ascii="Times New Roman" w:hAnsi="Times New Roman"/>
                <w:b/>
                <w:sz w:val="20"/>
              </w:rPr>
              <w:t>Item 4.</w:t>
            </w:r>
          </w:p>
        </w:tc>
        <w:tc>
          <w:tcPr>
            <w:tcW w:w="9288"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Mine Safety Disclosures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9" w:name="tx280818_7"/>
            <w:bookmarkEnd w:id="9"/>
            <w:r>
              <w:rPr>
                <w:rFonts w:ascii="Times New Roman" w:hAnsi="Times New Roman"/>
                <w:b/>
                <w:sz w:val="20"/>
              </w:rPr>
              <w:t>Item 5.</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Market for Registrants Common Equity, Related Stockholder Matters and Issuer Purchases of Equity Securities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As of March 7, 2011, our common stock began trading on the Nasdaq Capital Market under the symbol ABIO, and was previously traded under the same symbol on the Nasdaq Global Market. Prior to completion of the merger with Nuvelo, Nuvelos common stock traded under the symbol NUVO on the Nasdaq Global Market from January 31, 2003 to January 27, 2009 (except for the period between June 19, 2003 and March 19, 2004, where it temporarily traded under the symbol NUVOD). </w:t>
      </w:r>
    </w:p>
    <w:p>
      <w:pPr>
        <w:pStyle w:val="TextBody"/>
        <w:spacing w:before="180" w:after="0"/>
        <w:rPr>
          <w:rFonts w:ascii="Times New Roman" w:hAnsi="Times New Roman"/>
          <w:sz w:val="20"/>
        </w:rPr>
      </w:pPr>
      <w:r>
        <w:rPr>
          <w:rFonts w:ascii="Times New Roman" w:hAnsi="Times New Roman"/>
          <w:sz w:val="20"/>
        </w:rPr>
        <w:t xml:space="preserve">The following table sets forth, for the periods indicated, the high and low sales prices for our common stock, as reported by the Nasdaq Global Market in 2010 and 2011 and the Nasdaq Capital Market in 2011: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617"/>
        <w:gridCol w:w="443"/>
        <w:gridCol w:w="125"/>
        <w:gridCol w:w="380"/>
        <w:gridCol w:w="120"/>
        <w:gridCol w:w="443"/>
        <w:gridCol w:w="125"/>
        <w:gridCol w:w="380"/>
        <w:gridCol w:w="122"/>
      </w:tblGrid>
      <w:tr>
        <w:trPr/>
        <w:tc>
          <w:tcPr>
            <w:tcW w:w="56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617"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5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5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c>
          <w:tcPr>
            <w:tcW w:w="122" w:type="dxa"/>
            <w:tcBorders/>
            <w:shd w:fill="auto" w:val="clear"/>
            <w:vAlign w:val="bottom"/>
          </w:tcPr>
          <w:p>
            <w:pPr>
              <w:pStyle w:val="TableContents"/>
              <w:spacing w:before="0" w:after="283"/>
              <w:rPr/>
            </w:pPr>
            <w:r>
              <w:rPr/>
              <w:t> </w:t>
            </w:r>
          </w:p>
        </w:tc>
      </w:tr>
      <w:tr>
        <w:trPr/>
        <w:tc>
          <w:tcPr>
            <w:tcW w:w="5617" w:type="dxa"/>
            <w:tcBorders/>
            <w:shd w:fill="CCEEFF" w:val="clear"/>
          </w:tcPr>
          <w:p>
            <w:pPr>
              <w:pStyle w:val="TableContents"/>
              <w:spacing w:before="0" w:after="283"/>
              <w:rPr>
                <w:rFonts w:ascii="Times New Roman" w:hAnsi="Times New Roman"/>
                <w:b/>
                <w:sz w:val="20"/>
              </w:rPr>
            </w:pPr>
            <w:r>
              <w:rPr>
                <w:rFonts w:ascii="Times New Roman" w:hAnsi="Times New Roman"/>
                <w:b/>
                <w:sz w:val="20"/>
              </w:rPr>
              <w:t>Year ended December 31, 2011</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22" w:type="dxa"/>
            <w:tcBorders/>
            <w:shd w:fill="CCEEFF" w:val="clear"/>
            <w:vAlign w:val="bottom"/>
          </w:tcPr>
          <w:p>
            <w:pPr>
              <w:pStyle w:val="TableContents"/>
              <w:spacing w:before="0" w:after="283"/>
              <w:rPr>
                <w:sz w:val="4"/>
                <w:szCs w:val="4"/>
              </w:rPr>
            </w:pPr>
            <w:r>
              <w:rPr>
                <w:sz w:val="4"/>
                <w:szCs w:val="4"/>
              </w:rPr>
            </w:r>
          </w:p>
        </w:tc>
      </w:tr>
      <w:tr>
        <w:trPr/>
        <w:tc>
          <w:tcPr>
            <w:tcW w:w="5617" w:type="dxa"/>
            <w:tcBorders/>
            <w:shd w:fill="auto" w:val="clear"/>
          </w:tcPr>
          <w:p>
            <w:pPr>
              <w:pStyle w:val="TableContents"/>
              <w:spacing w:before="0" w:after="283"/>
              <w:rPr>
                <w:rFonts w:ascii="Times New Roman" w:hAnsi="Times New Roman"/>
                <w:sz w:val="20"/>
              </w:rPr>
            </w:pPr>
            <w:r>
              <w:rPr>
                <w:rFonts w:ascii="Times New Roman" w:hAnsi="Times New Roman"/>
                <w:sz w:val="20"/>
              </w:rPr>
              <w:t>First quarter</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122" w:type="dxa"/>
            <w:tcBorders/>
            <w:shd w:fill="auto" w:val="clear"/>
            <w:vAlign w:val="bottom"/>
          </w:tcPr>
          <w:p>
            <w:pPr>
              <w:pStyle w:val="TableContents"/>
              <w:spacing w:before="0" w:after="283"/>
              <w:rPr/>
            </w:pPr>
            <w:r>
              <w:rPr/>
              <w:t>  </w:t>
            </w:r>
          </w:p>
        </w:tc>
      </w:tr>
      <w:tr>
        <w:trPr/>
        <w:tc>
          <w:tcPr>
            <w:tcW w:w="5617" w:type="dxa"/>
            <w:tcBorders/>
            <w:shd w:fill="CCEEFF" w:val="clear"/>
          </w:tcPr>
          <w:p>
            <w:pPr>
              <w:pStyle w:val="TableContents"/>
              <w:spacing w:before="0" w:after="283"/>
              <w:rPr>
                <w:rFonts w:ascii="Times New Roman" w:hAnsi="Times New Roman"/>
                <w:sz w:val="20"/>
              </w:rPr>
            </w:pPr>
            <w:r>
              <w:rPr>
                <w:rFonts w:ascii="Times New Roman" w:hAnsi="Times New Roman"/>
                <w:sz w:val="20"/>
              </w:rPr>
              <w:t>Second quarter</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2" w:type="dxa"/>
            <w:tcBorders/>
            <w:shd w:fill="CCEEFF" w:val="clear"/>
            <w:vAlign w:val="bottom"/>
          </w:tcPr>
          <w:p>
            <w:pPr>
              <w:pStyle w:val="TableContents"/>
              <w:spacing w:before="0" w:after="283"/>
              <w:rPr/>
            </w:pPr>
            <w:r>
              <w:rPr/>
              <w:t>  </w:t>
            </w:r>
          </w:p>
        </w:tc>
      </w:tr>
      <w:tr>
        <w:trPr/>
        <w:tc>
          <w:tcPr>
            <w:tcW w:w="5617" w:type="dxa"/>
            <w:tcBorders/>
            <w:shd w:fill="auto" w:val="clear"/>
          </w:tcPr>
          <w:p>
            <w:pPr>
              <w:pStyle w:val="TableContents"/>
              <w:spacing w:before="0" w:after="283"/>
              <w:rPr>
                <w:rFonts w:ascii="Times New Roman" w:hAnsi="Times New Roman"/>
                <w:sz w:val="20"/>
              </w:rPr>
            </w:pPr>
            <w:r>
              <w:rPr>
                <w:rFonts w:ascii="Times New Roman" w:hAnsi="Times New Roman"/>
                <w:sz w:val="20"/>
              </w:rPr>
              <w:t>Third quarter</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2" w:type="dxa"/>
            <w:tcBorders/>
            <w:shd w:fill="auto" w:val="clear"/>
            <w:vAlign w:val="bottom"/>
          </w:tcPr>
          <w:p>
            <w:pPr>
              <w:pStyle w:val="TableContents"/>
              <w:spacing w:before="0" w:after="283"/>
              <w:rPr/>
            </w:pPr>
            <w:r>
              <w:rPr/>
              <w:t>  </w:t>
            </w:r>
          </w:p>
        </w:tc>
      </w:tr>
      <w:tr>
        <w:trPr/>
        <w:tc>
          <w:tcPr>
            <w:tcW w:w="5617" w:type="dxa"/>
            <w:tcBorders/>
            <w:shd w:fill="CCEEFF" w:val="clear"/>
          </w:tcPr>
          <w:p>
            <w:pPr>
              <w:pStyle w:val="TableContents"/>
              <w:spacing w:before="0" w:after="283"/>
              <w:rPr>
                <w:rFonts w:ascii="Times New Roman" w:hAnsi="Times New Roman"/>
                <w:sz w:val="20"/>
              </w:rPr>
            </w:pPr>
            <w:r>
              <w:rPr>
                <w:rFonts w:ascii="Times New Roman" w:hAnsi="Times New Roman"/>
                <w:sz w:val="20"/>
              </w:rPr>
              <w:t>Fourth quarter</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0.95</w:t>
            </w:r>
          </w:p>
        </w:tc>
        <w:tc>
          <w:tcPr>
            <w:tcW w:w="122" w:type="dxa"/>
            <w:tcBorders/>
            <w:shd w:fill="CCEEFF" w:val="clear"/>
            <w:vAlign w:val="bottom"/>
          </w:tcPr>
          <w:p>
            <w:pPr>
              <w:pStyle w:val="TableContents"/>
              <w:spacing w:before="0" w:after="283"/>
              <w:rPr/>
            </w:pPr>
            <w:r>
              <w:rPr/>
              <w:t>  </w:t>
            </w:r>
          </w:p>
        </w:tc>
      </w:tr>
      <w:tr>
        <w:trPr>
          <w:trHeight w:val="120" w:hRule="atLeast"/>
        </w:trPr>
        <w:tc>
          <w:tcPr>
            <w:tcW w:w="5617" w:type="dxa"/>
            <w:tcBorders/>
            <w:shd w:fill="auto" w:val="clear"/>
            <w:vAlign w:val="center"/>
          </w:tcPr>
          <w:p>
            <w:pPr>
              <w:pStyle w:val="TableContents"/>
              <w:spacing w:before="0" w:after="283"/>
              <w:rPr>
                <w:sz w:val="4"/>
                <w:szCs w:val="4"/>
              </w:rPr>
            </w:pPr>
            <w:r>
              <w:rPr>
                <w:sz w:val="4"/>
                <w:szCs w:val="4"/>
              </w:rPr>
            </w:r>
          </w:p>
        </w:tc>
        <w:tc>
          <w:tcPr>
            <w:tcW w:w="1068" w:type="dxa"/>
            <w:gridSpan w:val="4"/>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r>
      <w:tr>
        <w:trPr/>
        <w:tc>
          <w:tcPr>
            <w:tcW w:w="5617" w:type="dxa"/>
            <w:tcBorders/>
            <w:shd w:fill="auto" w:val="clear"/>
          </w:tcPr>
          <w:p>
            <w:pPr>
              <w:pStyle w:val="TableContents"/>
              <w:spacing w:before="0" w:after="283"/>
              <w:rPr>
                <w:rFonts w:ascii="Times New Roman" w:hAnsi="Times New Roman"/>
                <w:b/>
                <w:sz w:val="20"/>
              </w:rPr>
            </w:pPr>
            <w:r>
              <w:rPr>
                <w:rFonts w:ascii="Times New Roman" w:hAnsi="Times New Roman"/>
                <w:b/>
                <w:sz w:val="20"/>
              </w:rPr>
              <w:t>Year ended December 31, 2010</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5617" w:type="dxa"/>
            <w:tcBorders/>
            <w:shd w:fill="CCEEFF" w:val="clear"/>
          </w:tcPr>
          <w:p>
            <w:pPr>
              <w:pStyle w:val="TableContents"/>
              <w:spacing w:before="0" w:after="283"/>
              <w:rPr>
                <w:rFonts w:ascii="Times New Roman" w:hAnsi="Times New Roman"/>
                <w:sz w:val="20"/>
              </w:rPr>
            </w:pPr>
            <w:r>
              <w:rPr>
                <w:rFonts w:ascii="Times New Roman" w:hAnsi="Times New Roman"/>
                <w:sz w:val="20"/>
              </w:rPr>
              <w:t>First quarter</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22" w:type="dxa"/>
            <w:tcBorders/>
            <w:shd w:fill="CCEEFF" w:val="clear"/>
            <w:vAlign w:val="bottom"/>
          </w:tcPr>
          <w:p>
            <w:pPr>
              <w:pStyle w:val="TableContents"/>
              <w:spacing w:before="0" w:after="283"/>
              <w:rPr/>
            </w:pPr>
            <w:r>
              <w:rPr/>
              <w:t>  </w:t>
            </w:r>
          </w:p>
        </w:tc>
      </w:tr>
      <w:tr>
        <w:trPr/>
        <w:tc>
          <w:tcPr>
            <w:tcW w:w="5617" w:type="dxa"/>
            <w:tcBorders/>
            <w:shd w:fill="auto" w:val="clear"/>
          </w:tcPr>
          <w:p>
            <w:pPr>
              <w:pStyle w:val="TableContents"/>
              <w:spacing w:before="0" w:after="283"/>
              <w:rPr>
                <w:rFonts w:ascii="Times New Roman" w:hAnsi="Times New Roman"/>
                <w:sz w:val="20"/>
              </w:rPr>
            </w:pPr>
            <w:r>
              <w:rPr>
                <w:rFonts w:ascii="Times New Roman" w:hAnsi="Times New Roman"/>
                <w:sz w:val="20"/>
              </w:rPr>
              <w:t>Second quarter</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22" w:type="dxa"/>
            <w:tcBorders/>
            <w:shd w:fill="auto" w:val="clear"/>
            <w:vAlign w:val="bottom"/>
          </w:tcPr>
          <w:p>
            <w:pPr>
              <w:pStyle w:val="TableContents"/>
              <w:spacing w:before="0" w:after="283"/>
              <w:rPr/>
            </w:pPr>
            <w:r>
              <w:rPr/>
              <w:t>  </w:t>
            </w:r>
          </w:p>
        </w:tc>
      </w:tr>
      <w:tr>
        <w:trPr/>
        <w:tc>
          <w:tcPr>
            <w:tcW w:w="5617" w:type="dxa"/>
            <w:tcBorders/>
            <w:shd w:fill="CCEEFF" w:val="clear"/>
          </w:tcPr>
          <w:p>
            <w:pPr>
              <w:pStyle w:val="TableContents"/>
              <w:spacing w:before="0" w:after="283"/>
              <w:rPr>
                <w:rFonts w:ascii="Times New Roman" w:hAnsi="Times New Roman"/>
                <w:sz w:val="20"/>
              </w:rPr>
            </w:pPr>
            <w:r>
              <w:rPr>
                <w:rFonts w:ascii="Times New Roman" w:hAnsi="Times New Roman"/>
                <w:sz w:val="20"/>
              </w:rPr>
              <w:t>Third quarter</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22" w:type="dxa"/>
            <w:tcBorders/>
            <w:shd w:fill="CCEEFF" w:val="clear"/>
            <w:vAlign w:val="bottom"/>
          </w:tcPr>
          <w:p>
            <w:pPr>
              <w:pStyle w:val="TableContents"/>
              <w:spacing w:before="0" w:after="283"/>
              <w:rPr/>
            </w:pPr>
            <w:r>
              <w:rPr/>
              <w:t>  </w:t>
            </w:r>
          </w:p>
        </w:tc>
      </w:tr>
      <w:tr>
        <w:trPr/>
        <w:tc>
          <w:tcPr>
            <w:tcW w:w="5617" w:type="dxa"/>
            <w:tcBorders/>
            <w:shd w:fill="auto" w:val="clear"/>
          </w:tcPr>
          <w:p>
            <w:pPr>
              <w:pStyle w:val="TableContents"/>
              <w:spacing w:before="0" w:after="283"/>
              <w:rPr>
                <w:rFonts w:ascii="Times New Roman" w:hAnsi="Times New Roman"/>
                <w:sz w:val="20"/>
              </w:rPr>
            </w:pPr>
            <w:r>
              <w:rPr>
                <w:rFonts w:ascii="Times New Roman" w:hAnsi="Times New Roman"/>
                <w:sz w:val="20"/>
              </w:rPr>
              <w:t>Fourth quarter</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2"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Stockholders </w:t>
      </w:r>
    </w:p>
    <w:p>
      <w:pPr>
        <w:pStyle w:val="TextBody"/>
        <w:spacing w:before="90" w:after="0"/>
        <w:rPr>
          <w:rFonts w:ascii="Times New Roman" w:hAnsi="Times New Roman"/>
          <w:sz w:val="20"/>
        </w:rPr>
      </w:pPr>
      <w:r>
        <w:rPr>
          <w:rFonts w:ascii="Times New Roman" w:hAnsi="Times New Roman"/>
          <w:sz w:val="20"/>
        </w:rPr>
        <w:t xml:space="preserve">As of March 23, 2012, we had approximately 129 stockholders of record of our common stock, and the last sale price reported on the Nasdaq Capital Market for our common stock was $0.95 per share. </w:t>
      </w:r>
    </w:p>
    <w:p>
      <w:pPr>
        <w:pStyle w:val="TextBody"/>
        <w:spacing w:before="270" w:after="0"/>
        <w:rPr>
          <w:rFonts w:ascii="Times New Roman" w:hAnsi="Times New Roman"/>
          <w:b/>
          <w:i/>
          <w:sz w:val="20"/>
        </w:rPr>
      </w:pPr>
      <w:r>
        <w:rPr>
          <w:rFonts w:ascii="Times New Roman" w:hAnsi="Times New Roman"/>
          <w:b/>
          <w:i/>
          <w:sz w:val="20"/>
        </w:rPr>
        <w:t xml:space="preserve">Dividend Policy </w:t>
      </w:r>
    </w:p>
    <w:p>
      <w:pPr>
        <w:pStyle w:val="TextBody"/>
        <w:spacing w:before="90" w:after="0"/>
        <w:rPr>
          <w:rFonts w:ascii="Times New Roman" w:hAnsi="Times New Roman"/>
          <w:sz w:val="20"/>
        </w:rPr>
      </w:pPr>
      <w:r>
        <w:rPr>
          <w:rFonts w:ascii="Times New Roman" w:hAnsi="Times New Roman"/>
          <w:sz w:val="20"/>
        </w:rPr>
        <w:t xml:space="preserve">The holders of our common stock are entitled to dividends in such amounts and at such times, if any, as may be declared by our Board of Directors out of legally available funds. We have not paid any dividends on our common stock and do not anticipate paying any cash dividends in the foreseeable future. </w:t>
      </w:r>
    </w:p>
    <w:p>
      <w:pPr>
        <w:pStyle w:val="TextBody"/>
        <w:spacing w:before="270" w:after="0"/>
        <w:rPr>
          <w:rFonts w:ascii="Times New Roman" w:hAnsi="Times New Roman"/>
          <w:b/>
          <w:i/>
          <w:sz w:val="20"/>
        </w:rPr>
      </w:pPr>
      <w:r>
        <w:rPr>
          <w:rFonts w:ascii="Times New Roman" w:hAnsi="Times New Roman"/>
          <w:b/>
          <w:i/>
          <w:sz w:val="20"/>
        </w:rPr>
        <w:t xml:space="preserve">Securities Authorized for Issuance Under Equity Compensation Plans </w:t>
      </w:r>
    </w:p>
    <w:p>
      <w:pPr>
        <w:pStyle w:val="TextBody"/>
        <w:spacing w:before="90" w:after="0"/>
        <w:rPr>
          <w:rFonts w:ascii="Times New Roman" w:hAnsi="Times New Roman"/>
          <w:sz w:val="20"/>
        </w:rPr>
      </w:pPr>
      <w:r>
        <w:rPr>
          <w:rFonts w:ascii="Times New Roman" w:hAnsi="Times New Roman"/>
          <w:sz w:val="20"/>
        </w:rPr>
        <w:t xml:space="preserve">Information relating to our equity compensation plans as of December 31, 2010, under which our equity securities were authorized for issuance, is included in Item 12 of Part III of this Annual Report. </w:t>
      </w:r>
    </w:p>
    <w:p>
      <w:pPr>
        <w:pStyle w:val="TextBody"/>
        <w:spacing w:before="270" w:after="0"/>
        <w:rPr>
          <w:rFonts w:ascii="Times New Roman" w:hAnsi="Times New Roman"/>
          <w:b/>
          <w:i/>
          <w:sz w:val="20"/>
        </w:rPr>
      </w:pPr>
      <w:r>
        <w:rPr>
          <w:rFonts w:ascii="Times New Roman" w:hAnsi="Times New Roman"/>
          <w:b/>
          <w:i/>
          <w:sz w:val="20"/>
        </w:rPr>
        <w:t xml:space="preserve">Unregistered Sales of Equity Securities and Use of Proceeds </w:t>
      </w:r>
    </w:p>
    <w:p>
      <w:pPr>
        <w:pStyle w:val="TextBody"/>
        <w:spacing w:before="90" w:after="0"/>
        <w:rPr>
          <w:rFonts w:ascii="Times New Roman" w:hAnsi="Times New Roman"/>
          <w:sz w:val="20"/>
        </w:rPr>
      </w:pPr>
      <w:r>
        <w:rPr>
          <w:rFonts w:ascii="Times New Roman" w:hAnsi="Times New Roman"/>
          <w:sz w:val="20"/>
        </w:rPr>
        <w:t xml:space="preserve">On December 22, 2011 ARCA sold approximately $1.75 million of its common stock and warrants to six institutional investors in a private placement transaction. ARCA issued an aggregate of approximately 1.67 million shares of common stock to investors together with warrants to purchase approximately 1.25 million shares of common stock. The net proceeds, after deducting the placement fee and other offering expenses, were approximately $1.4 million, and these proceeds are being used solely for general working capital purposes. </w:t>
      </w:r>
    </w:p>
    <w:p>
      <w:pPr>
        <w:pStyle w:val="TextBody"/>
        <w:spacing w:before="180" w:after="0"/>
        <w:rPr>
          <w:rFonts w:ascii="Times New Roman" w:hAnsi="Times New Roman"/>
          <w:sz w:val="20"/>
        </w:rPr>
      </w:pPr>
      <w:r>
        <w:rPr>
          <w:rFonts w:ascii="Times New Roman" w:hAnsi="Times New Roman"/>
          <w:sz w:val="20"/>
        </w:rPr>
        <w:t xml:space="preserve">Each unit, consisting of one share of common stock and a warrant to purchase 0.75 share of common stock, was sold at a purchase price of $1.05. The warrants become exercisable on June 22, 2012, expire 5 years after becoming exercisable and have an exercise price of $1.485 per share.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Pursuant to the terms of the Registration Rights Agreement (the Rights Agreement) entered into as part of the transactions, ARCA granted to the investors certain registration rights related to the shares underlying the units sold in the private placement. ARCA filed a registration statement, in accordance with the terms of the Rights Agreement, for the resale of the shares underlying the units sold in the private placement. That registration statement was declared effective by the Securities and Exchange Commission on January 26, 2012. </w:t>
      </w:r>
    </w:p>
    <w:p>
      <w:pPr>
        <w:pStyle w:val="TextBody"/>
        <w:spacing w:before="180" w:after="0"/>
        <w:rPr>
          <w:rFonts w:ascii="Times New Roman" w:hAnsi="Times New Roman"/>
          <w:sz w:val="20"/>
        </w:rPr>
      </w:pPr>
      <w:r>
        <w:rPr>
          <w:rFonts w:ascii="Times New Roman" w:hAnsi="Times New Roman"/>
          <w:sz w:val="20"/>
        </w:rPr>
        <w:t xml:space="preserve">The foregoing is only a brief description of the material terms of the private placement and the associated Purchase Agreements, the Rights Agreement and the Warrants and does not purport to be a complete description of the rights and obligations of the parties hereunder. The foregoing is qualified in its entirety by reference to the form of Purchase agreement the form of Rights Agreement and form of Warrants, which were filed as Exhibits to our report on Form 8K filed December 22, 2011. </w:t>
      </w:r>
    </w:p>
    <w:p>
      <w:pPr>
        <w:pStyle w:val="TextBody"/>
        <w:spacing w:before="270" w:after="0"/>
        <w:rPr>
          <w:rFonts w:ascii="Times New Roman" w:hAnsi="Times New Roman"/>
          <w:b/>
          <w:i/>
          <w:sz w:val="20"/>
        </w:rPr>
      </w:pPr>
      <w:r>
        <w:rPr>
          <w:rFonts w:ascii="Times New Roman" w:hAnsi="Times New Roman"/>
          <w:b/>
          <w:i/>
          <w:sz w:val="20"/>
        </w:rPr>
        <w:t xml:space="preserve">Issuer Purchases of Equity Securities </w:t>
      </w:r>
    </w:p>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0" w:name="tx280818_8"/>
            <w:bookmarkEnd w:id="10"/>
            <w:r>
              <w:rPr>
                <w:rFonts w:ascii="Times New Roman" w:hAnsi="Times New Roman"/>
                <w:b/>
                <w:sz w:val="20"/>
              </w:rPr>
              <w:t>Item 6.</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Selected Financial Data</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1" w:name="tx280818_9"/>
            <w:bookmarkEnd w:id="11"/>
            <w:r>
              <w:rPr>
                <w:rFonts w:ascii="Times New Roman" w:hAnsi="Times New Roman"/>
                <w:b/>
                <w:sz w:val="20"/>
              </w:rPr>
              <w:t>Item 7.</w:t>
            </w:r>
          </w:p>
        </w:tc>
        <w:tc>
          <w:tcPr>
            <w:tcW w:w="9288"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Managements Discussion and Analysis of Financial Condition and Results of Operations </w:t>
            </w:r>
          </w:p>
        </w:tc>
      </w:tr>
    </w:tbl>
    <w:p>
      <w:pPr>
        <w:pStyle w:val="TextBody"/>
        <w:spacing w:before="90" w:after="0"/>
        <w:rPr>
          <w:rFonts w:ascii="Times New Roman" w:hAnsi="Times New Roman"/>
          <w:sz w:val="20"/>
        </w:rPr>
      </w:pPr>
      <w:r>
        <w:rPr>
          <w:rFonts w:ascii="Times New Roman" w:hAnsi="Times New Roman"/>
          <w:sz w:val="20"/>
        </w:rPr>
        <w:t xml:space="preserve">We have included or incorporated by reference into this Managements Discussion and Analysis of Financial Condition and Results of Operations and elsewhere in this Annual Report on Form 10-K, and from time to time our management may make, statements that constitute forward-looking statements within the meaning of Section 27A of the Securities Act and Section 21E of the Exchange Act. Forward-looking statements may be identified by words including anticipate, plan, believe, intend, estimate, expect, should, may, potential and similar expressions. These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We undertake no obligation to publicly update any forward-looking statements, whether as a result of new information, future events or otherwise. You are advised, however, to consult any further disclosures we make on related subjects in our Quarterly Reports on Form 10-Q, Current Reports on Form 8-K, and our website. </w:t>
      </w:r>
    </w:p>
    <w:p>
      <w:pPr>
        <w:pStyle w:val="TextBody"/>
        <w:spacing w:before="270" w:after="0"/>
        <w:rPr>
          <w:rFonts w:ascii="Times New Roman" w:hAnsi="Times New Roman"/>
          <w:b/>
          <w:i/>
          <w:sz w:val="20"/>
        </w:rPr>
      </w:pPr>
      <w:r>
        <w:rPr>
          <w:rFonts w:ascii="Times New Roman" w:hAnsi="Times New Roman"/>
          <w:b/>
          <w:i/>
          <w:sz w:val="20"/>
        </w:rPr>
        <w:t xml:space="preserve">Overview </w:t>
      </w:r>
    </w:p>
    <w:p>
      <w:pPr>
        <w:pStyle w:val="TextBody"/>
        <w:pBdr/>
        <w:spacing w:before="90" w:after="0"/>
        <w:rPr/>
      </w:pPr>
      <w:r>
        <w:rPr>
          <w:rFonts w:ascii="Times New Roman" w:hAnsi="Times New Roman"/>
          <w:sz w:val="20"/>
        </w:rPr>
        <w:t>We are a biopharmaceutical company whose principal focus is developing genetically-targeted therapies for cardiovascular diseases. Our lead product candidate, Gencaro</w:t>
      </w:r>
      <w:r>
        <w:rPr>
          <w:rFonts w:ascii="Times New Roman" w:hAnsi="Times New Roman"/>
          <w:sz w:val="14"/>
        </w:rPr>
        <w:t>TM</w:t>
      </w:r>
      <w:r>
        <w:rPr/>
        <w:t xml:space="preserve"> </w:t>
      </w:r>
      <w:r>
        <w:rPr>
          <w:rFonts w:ascii="Times New Roman" w:hAnsi="Times New Roman"/>
          <w:sz w:val="20"/>
        </w:rPr>
        <w:t xml:space="preserve">(bucindolol hydrochloride), a pharmacologically unique beta-blocker and mild vasodilator, is being developed for the treatment of atrial fibrillation, or AF, in patients with heart failure, or HF. We have identified common genetic variations in the cardiovascular system that we believe interact with Gencaros pharmacology and may predict patient response to the drug. </w:t>
      </w:r>
    </w:p>
    <w:p>
      <w:pPr>
        <w:pStyle w:val="TextBody"/>
        <w:spacing w:before="180" w:after="0"/>
        <w:rPr>
          <w:rFonts w:ascii="Times New Roman" w:hAnsi="Times New Roman"/>
          <w:sz w:val="20"/>
        </w:rPr>
      </w:pPr>
      <w:r>
        <w:rPr>
          <w:rFonts w:ascii="Times New Roman" w:hAnsi="Times New Roman"/>
          <w:sz w:val="20"/>
        </w:rPr>
        <w:t xml:space="preserve">We have been granted patents in the U.S., Europe, and other jurisdictions for methods of treating AF and HF patients with Gencaro based on genetic testing, which we believe will provide market exclusivity for these uses of Gencaro into at least 2026 in the U.S. and into 2025 in Europe. In addition, we believe that if Gencaro is approved, the Gencaro patents will be eligible for patent term extension based our on current clinical trial plans which, if granted in the U.S., may provide market exclusivity into 2029, and if granted in Europe may provide market exclusivity into 2030. </w:t>
      </w:r>
    </w:p>
    <w:p>
      <w:pPr>
        <w:pStyle w:val="TextBody"/>
        <w:spacing w:before="180" w:after="0"/>
        <w:rPr>
          <w:rFonts w:ascii="Times New Roman" w:hAnsi="Times New Roman"/>
          <w:sz w:val="20"/>
        </w:rPr>
      </w:pPr>
      <w:r>
        <w:rPr>
          <w:rFonts w:ascii="Times New Roman" w:hAnsi="Times New Roman"/>
          <w:sz w:val="20"/>
        </w:rPr>
        <w:t xml:space="preserve">We are planning to initiate a Phase 3 clinical study of Gencaro in AF patients with HF and/or left ventricular dysfunction. We believe AF is an attractive potential indication for Gencaro because data from the previously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conducted Phase 3 HF trial of Gencaro in 2,708 HF patients, or the BEST HF trial, suggest that Gencaro may have a potentially significant effect in reducing or preventing AF. Based on our analysis of data from the BEST HF trial, we believe that Gencaros prevention of AF in HF patients is pharmacogenetically regulated. We plan to enroll approximately 200-400 patients with persistent AF who have the genotype that appears to respond most favorably to Gencaro. We anticipate that this trial could begin approximately 6 months after we obtain sufficient funding. </w:t>
      </w:r>
    </w:p>
    <w:p>
      <w:pPr>
        <w:pStyle w:val="TextBody"/>
        <w:spacing w:before="180" w:after="0"/>
        <w:rPr>
          <w:rFonts w:ascii="Times New Roman" w:hAnsi="Times New Roman"/>
          <w:sz w:val="20"/>
        </w:rPr>
      </w:pPr>
      <w:r>
        <w:rPr>
          <w:rFonts w:ascii="Times New Roman" w:hAnsi="Times New Roman"/>
          <w:sz w:val="20"/>
        </w:rPr>
        <w:t xml:space="preserve">AF is a disorder in which the normally regular and coordinated contraction pattern of the hearts two small upper chambers (the atria) becomes irregular and uncoordinated. The irregular contraction pattern associated with AF causes blood to pool in the atria, predisposing the formation of clots. These clots may travel from the heart and become lodged in the arteries leading to the brain and other organs, thereby blocking necessary blood flow and potentially resulting in stroke. AF is considered an epidemic cardiovascular disease that affects approximately 2-3 million Americans, making it one of the most common heart rhythm disorders. The approved therapies for the treatment or prevention AF have certain disadvantages, such as toxic side effects. We believe there is an unmet medical need for new AF treatments that have fewer side effects than currently available therapies and are more effective, particularly in patients with HF where most of the approved drugs are contra-indicated or have warnings in their prescribing information. </w:t>
      </w:r>
    </w:p>
    <w:p>
      <w:pPr>
        <w:pStyle w:val="TextBody"/>
        <w:spacing w:before="180" w:after="0"/>
        <w:rPr>
          <w:rFonts w:ascii="Times New Roman" w:hAnsi="Times New Roman"/>
          <w:sz w:val="20"/>
        </w:rPr>
      </w:pPr>
      <w:r>
        <w:rPr>
          <w:rFonts w:ascii="Times New Roman" w:hAnsi="Times New Roman"/>
          <w:sz w:val="20"/>
        </w:rPr>
        <w:t xml:space="preserve">The planned AF clinical trial is designed to be a multi-center, randomized, double-blind clinical trial to assess the safety and efficacy of Gencaro in AF patients with HF and/or left ventricular dysfunction, with the primary endpoint being time to recurrent symptomatic AF after direct current cardioversion. This AF trial is designed to compare Gencaro to the beta-blocker metoprolol CR/XL in the patient genotype we believe responds most favorably to Gencaro. The therapeutic benefit of metoprolol CR/XL does not appear to be enhanced in patients with this genotype. We believe data from the BEST HF trial indicate that Gencaro may have a potentially significant effect in reducing or preventing AF, and this effect may be one that is genetically regulated. The entire cohort of patients in the BEST HF trial that were treated with Gencaro had a 41% reduction in the risk of new onset AF (time-to-event) compared to placebo (p = 0.0004), although because there was not a predetermined AF clinical endpoint in the BEST HF trial, the data is based on a subsequent analysis of adverse events and surveillance electrocardiograms (ECGs). In the DNA sub study, patients with the most favorable genotype for Gencaro experienced a 74% (p = 0.0003) reduction in risk of AF, based on the same analysis. This most favorable genotype was present in about 47% of the patients in the sub study, and we estimate it is present in about 50% of the US general population. We believe the AF study would take approximately two and one half years from enrollment of the first patient through completion. </w:t>
      </w:r>
    </w:p>
    <w:p>
      <w:pPr>
        <w:pStyle w:val="TextBody"/>
        <w:spacing w:before="180" w:after="0"/>
        <w:rPr>
          <w:rFonts w:ascii="Times New Roman" w:hAnsi="Times New Roman"/>
          <w:sz w:val="20"/>
        </w:rPr>
      </w:pPr>
      <w:r>
        <w:rPr>
          <w:rFonts w:ascii="Times New Roman" w:hAnsi="Times New Roman"/>
          <w:sz w:val="20"/>
        </w:rPr>
        <w:t xml:space="preserve">We have exclusive patent rights to other product candidates that have potential indications in cardiovascular disease, oncology and other therapeutic areas, some of which are in early stages of development and others of which are in later stages of development. We are seeking development partners to assist us in the development of these product candidates or who may license rights to them. For example, we hold exclusive rights to rNAPc2, a recombinant protein that is a potent, long acting tissue factor inhibitor with a unique mechanism of action. Previously, preclinical studies of rNAPc2 showed evidence of potential efficacy against lethal hemorrhagic fever viruses. </w:t>
      </w:r>
    </w:p>
    <w:p>
      <w:pPr>
        <w:pStyle w:val="TextBody"/>
        <w:spacing w:before="180" w:after="0"/>
        <w:rPr>
          <w:rFonts w:ascii="Times New Roman" w:hAnsi="Times New Roman"/>
          <w:sz w:val="20"/>
        </w:rPr>
      </w:pPr>
      <w:r>
        <w:rPr>
          <w:rFonts w:ascii="Times New Roman" w:hAnsi="Times New Roman"/>
          <w:sz w:val="20"/>
        </w:rPr>
        <w:t xml:space="preserve">To support the continued development of Gencaro, including the planned AF clinical trial and our ongoing operations, we will need to raise substantial additional funding through public or private debt or equity transactions or a strategic combination or partnership, or government funding. We may seek additional funding that could allow us to operate while we continue to pursue strategic combination, partnering, additional financing and licensing opportunities. If we are delayed in obtaining funding or are unable to complete a strategic transaction, we may discontinue our development activities on Gencaro or discontinue our operations. We believe our cash and cash equivalents balance as of December 31, 2011 will be sufficient to fund our operations, at our current cost structure, through September 2012. We are unable to assert that our current cash and cash equivalents are sufficient to fund operations beyond that date, and as a result, there is substantial doubt about our ability to continue as a going concern beyond September 2012. Changing circumstances may cause us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consume capital significantly faster or slower than we currently anticipate. We have based these estimates on assumptions that may prove to be wrong, and we could exhaust our available financial resources sooner than we currently anticipate. </w:t>
      </w:r>
    </w:p>
    <w:p>
      <w:pPr>
        <w:pStyle w:val="TextBody"/>
        <w:spacing w:before="180" w:after="0"/>
        <w:rPr>
          <w:rFonts w:ascii="Times New Roman" w:hAnsi="Times New Roman"/>
          <w:sz w:val="20"/>
        </w:rPr>
      </w:pPr>
      <w:r>
        <w:rPr>
          <w:rFonts w:ascii="Times New Roman" w:hAnsi="Times New Roman"/>
          <w:sz w:val="20"/>
        </w:rPr>
        <w:t xml:space="preserve">On January 27, 2009, we completed a business combination (the Merger) with ARCA Colorado in accordance with the terms of that Agreement and Plan of Merger and Reorganization, dated September 24, 2008, and amended on October 28, 2008 (as amended, the Merger Agreement), in which a wholly-owned subsidiary of Nuvelo, Inc. merged with and into ARCA Colorado, with ARCA Colorado continuing after the Merger as the surviving corporation and a wholly-owned subsidiary of Nuvelo, Inc. Immediately following the Merger, we changed our name from Nuvelo, Inc. to ARCA biopharma, Inc., and our common stock began trading on the Nasdaq Global Market under the symbol ABIO on January 28, 2009. On March 7, 2011, the listing of our common stock was transferred from the Nasdaq Global Market to the Nasdaq Capital Market. </w:t>
      </w:r>
    </w:p>
    <w:p>
      <w:pPr>
        <w:pStyle w:val="TextBody"/>
        <w:spacing w:before="270" w:after="0"/>
        <w:rPr>
          <w:rFonts w:ascii="Times New Roman" w:hAnsi="Times New Roman"/>
          <w:b/>
          <w:i/>
          <w:sz w:val="20"/>
        </w:rPr>
      </w:pPr>
      <w:r>
        <w:rPr>
          <w:rFonts w:ascii="Times New Roman" w:hAnsi="Times New Roman"/>
          <w:b/>
          <w:i/>
          <w:sz w:val="20"/>
        </w:rPr>
        <w:t xml:space="preserve">Results of Operations </w:t>
      </w:r>
    </w:p>
    <w:p>
      <w:pPr>
        <w:pStyle w:val="TextBody"/>
        <w:spacing w:before="90" w:after="0"/>
        <w:rPr>
          <w:rFonts w:ascii="Times New Roman" w:hAnsi="Times New Roman"/>
          <w:i/>
          <w:sz w:val="20"/>
        </w:rPr>
      </w:pPr>
      <w:r>
        <w:rPr>
          <w:rFonts w:ascii="Times New Roman" w:hAnsi="Times New Roman"/>
          <w:i/>
          <w:sz w:val="20"/>
        </w:rPr>
        <w:t xml:space="preserve">Research and Development Expenses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Research and development, or R&amp;D, expense comprises research &amp; development, regulatory, and manufacturing process development activities and costs. During 2011, our R&amp;D efforts and costs were almost entirely for the development of Gencaro. Research and Regulatory costs decreased approximately $940,000 primarily due to reduced personnel costs from staff reductions completed in the first quarter of 2011, plus the conclusion of certain pre-clinical studies and regulatory activities done in 2010 with no similar activities or costs in 2011. Manufacturing process development costs increased approximately $149,000 for the year due to milestone costs for ongoing, long-term stability studies of Gencaro and new costs for preliminary analysis and development of clinical trial materials for our planned AF clinical trial. </w:t>
            </w:r>
          </w:p>
        </w:tc>
      </w:tr>
    </w:tbl>
    <w:p>
      <w:pPr>
        <w:pStyle w:val="TextBody"/>
        <w:spacing w:before="180" w:after="0"/>
        <w:rPr>
          <w:rFonts w:ascii="Times New Roman" w:hAnsi="Times New Roman"/>
          <w:sz w:val="20"/>
        </w:rPr>
      </w:pPr>
      <w:r>
        <w:rPr>
          <w:rFonts w:ascii="Times New Roman" w:hAnsi="Times New Roman"/>
          <w:sz w:val="20"/>
        </w:rPr>
        <w:t xml:space="preserve">Our R&amp;D expenses are highly contingent upon our ability to raise substantial additional funding or complete a strategic transaction. Should we receive funds from one or a combination of these sources, R&amp;D expense in 2012 could be substantially higher than 2011 as we initiate our planned AF clinical trial. Until substantial additional funding is obtained, R&amp;D expenses in 2012 are expected to be comparable to 2011 levels or may decrease further. </w:t>
      </w:r>
    </w:p>
    <w:p>
      <w:pPr>
        <w:pStyle w:val="TextBody"/>
        <w:spacing w:before="270" w:after="0"/>
        <w:rPr>
          <w:rFonts w:ascii="Times New Roman" w:hAnsi="Times New Roman"/>
          <w:i/>
          <w:sz w:val="20"/>
        </w:rPr>
      </w:pPr>
      <w:r>
        <w:rPr>
          <w:rFonts w:ascii="Times New Roman" w:hAnsi="Times New Roman"/>
          <w:i/>
          <w:sz w:val="20"/>
        </w:rPr>
        <w:t xml:space="preserve">Selling, General and Administrative Expenses </w:t>
      </w:r>
    </w:p>
    <w:p>
      <w:pPr>
        <w:pStyle w:val="TextBody"/>
        <w:spacing w:before="90" w:after="0"/>
        <w:rPr>
          <w:rFonts w:ascii="Times New Roman" w:hAnsi="Times New Roman"/>
          <w:sz w:val="20"/>
        </w:rPr>
      </w:pPr>
      <w:r>
        <w:rPr>
          <w:rFonts w:ascii="Times New Roman" w:hAnsi="Times New Roman"/>
          <w:sz w:val="20"/>
        </w:rPr>
        <w:t xml:space="preserve">Selling, general and administrative expenses, or SG&amp;A, primarily consist of personnel costs, consulting and professional fees, insurance, facilities and depreciation expenses, and various other administrative costs. </w:t>
      </w:r>
    </w:p>
    <w:p>
      <w:pPr>
        <w:pStyle w:val="TextBody"/>
        <w:spacing w:before="180" w:after="0"/>
        <w:rPr>
          <w:rFonts w:ascii="Times New Roman" w:hAnsi="Times New Roman"/>
          <w:sz w:val="20"/>
        </w:rPr>
      </w:pPr>
      <w:r>
        <w:rPr>
          <w:rFonts w:ascii="Times New Roman" w:hAnsi="Times New Roman"/>
          <w:sz w:val="20"/>
        </w:rPr>
        <w:t xml:space="preserve">SG&amp;A expenses were $5.0 million for the year ended December 31, 2011, compared to $6.1 million for 2010, a decrease of approximately $1.1 million. Cost decreases of approximately $1.3 million were primarily comprised of reduced personnel, consulting, legal and accounting expenses. Approximately $433,000 of the decrease was attributable to our staff reductions completed in the first quarter of 2011 and the balance is due to our reduced operations overall. There was an increase in depreciation expense in 2011 of approximately $272,000 over 2010. The increase is directly related to the relocation of our corporate office to a smaller office suite during the fourth quarter of the year. The move necessitated additional depreciation of certain leasehold improvements, furniture and equipment that were not useable in the new office suite. </w:t>
      </w:r>
    </w:p>
    <w:p>
      <w:pPr>
        <w:pStyle w:val="TextBody"/>
        <w:spacing w:before="180" w:after="0"/>
        <w:rPr>
          <w:rFonts w:ascii="Times New Roman" w:hAnsi="Times New Roman"/>
          <w:sz w:val="20"/>
        </w:rPr>
      </w:pPr>
      <w:r>
        <w:rPr>
          <w:rFonts w:ascii="Times New Roman" w:hAnsi="Times New Roman"/>
          <w:sz w:val="20"/>
        </w:rPr>
        <w:t xml:space="preserve">SG&amp;A expenses for 2012 are expected to be comparable to 2011 levels, or modestly lower but are s contingent upon our ability to raise substantial additional funding or complete a strategic transaction. Should we receive funds from one or a combination of these sources, SG&amp;A expense in 2012 could be substantially higher than 2011 as we increase activities to support initiating our planned AF clinical trial.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Gain on Assignment of Patent Rights </w:t>
      </w:r>
    </w:p>
    <w:p>
      <w:pPr>
        <w:pStyle w:val="TextBody"/>
        <w:spacing w:before="90" w:after="0"/>
        <w:rPr>
          <w:rFonts w:ascii="Times New Roman" w:hAnsi="Times New Roman"/>
          <w:sz w:val="20"/>
        </w:rPr>
      </w:pPr>
      <w:r>
        <w:rPr>
          <w:rFonts w:ascii="Times New Roman" w:hAnsi="Times New Roman"/>
          <w:sz w:val="20"/>
        </w:rPr>
        <w:t xml:space="preserve">During the year ended December 31, 2011, we entered into an agreement in which we assigned certain patent rights to a large pharmaceutical company. In exchange for the patent rights we received a $2.0 million non-recourse payment during the second quarter of 2011. </w:t>
      </w:r>
    </w:p>
    <w:p>
      <w:pPr>
        <w:pStyle w:val="TextBody"/>
        <w:spacing w:before="270" w:after="0"/>
        <w:rPr>
          <w:rFonts w:ascii="Times New Roman" w:hAnsi="Times New Roman"/>
          <w:i/>
          <w:sz w:val="20"/>
        </w:rPr>
      </w:pPr>
      <w:r>
        <w:rPr>
          <w:rFonts w:ascii="Times New Roman" w:hAnsi="Times New Roman"/>
          <w:i/>
          <w:sz w:val="20"/>
        </w:rPr>
        <w:t xml:space="preserve">Interest and Other Income </w:t>
      </w:r>
    </w:p>
    <w:p>
      <w:pPr>
        <w:pStyle w:val="TextBody"/>
        <w:spacing w:before="90" w:after="0"/>
        <w:rPr>
          <w:rFonts w:ascii="Times New Roman" w:hAnsi="Times New Roman"/>
          <w:sz w:val="20"/>
        </w:rPr>
      </w:pPr>
      <w:r>
        <w:rPr>
          <w:rFonts w:ascii="Times New Roman" w:hAnsi="Times New Roman"/>
          <w:sz w:val="20"/>
        </w:rPr>
        <w:t xml:space="preserve">Interest and other income was $2,000 for the year ended December 31, 2011, as compared to $763,000 for 2010, representing a decrease of $761,000. The decrease is comprised of grants totaling $489,000 under the Qualifying Therapeutic Discovery Project, provided under section 48D of the Internal Revenue Code and realized gains of $263,000 on the sale of marketable securities. Both of these events occurred in and were exclusive to 2010. Interest income was nominal in 2011 due to low investment yields and declining cash balances. We expect interest income to continue to be nominal in 2012. </w:t>
      </w:r>
    </w:p>
    <w:p>
      <w:pPr>
        <w:pStyle w:val="TextBody"/>
        <w:spacing w:before="270" w:after="0"/>
        <w:rPr>
          <w:rFonts w:ascii="Times New Roman" w:hAnsi="Times New Roman"/>
          <w:i/>
          <w:sz w:val="20"/>
        </w:rPr>
      </w:pPr>
      <w:r>
        <w:rPr>
          <w:rFonts w:ascii="Times New Roman" w:hAnsi="Times New Roman"/>
          <w:i/>
          <w:sz w:val="20"/>
        </w:rPr>
        <w:t xml:space="preserve">Interest and Other Expense </w:t>
      </w:r>
    </w:p>
    <w:p>
      <w:pPr>
        <w:pStyle w:val="TextBody"/>
        <w:spacing w:before="90" w:after="0"/>
        <w:rPr>
          <w:rFonts w:ascii="Times New Roman" w:hAnsi="Times New Roman"/>
          <w:sz w:val="20"/>
        </w:rPr>
      </w:pPr>
      <w:r>
        <w:rPr>
          <w:rFonts w:ascii="Times New Roman" w:hAnsi="Times New Roman"/>
          <w:sz w:val="20"/>
        </w:rPr>
        <w:t xml:space="preserve">Interest and other expense was $5,000 for the year ended December 31, 2011, as compared to $8,000 for 2010. The amounts and related change between years are nominal to our overall operations. Based on our current capital structure, interest expense for 2012 is expected to be comparable to 2011. </w:t>
      </w:r>
    </w:p>
    <w:p>
      <w:pPr>
        <w:pStyle w:val="TextBody"/>
        <w:spacing w:before="270" w:after="0"/>
        <w:rPr>
          <w:rFonts w:ascii="Times New Roman" w:hAnsi="Times New Roman"/>
          <w:b/>
          <w:i/>
          <w:sz w:val="20"/>
        </w:rPr>
      </w:pPr>
      <w:r>
        <w:rPr>
          <w:rFonts w:ascii="Times New Roman" w:hAnsi="Times New Roman"/>
          <w:b/>
          <w:i/>
          <w:sz w:val="20"/>
        </w:rPr>
        <w:t xml:space="preserve">Liquidity and Capital Resources </w:t>
      </w:r>
    </w:p>
    <w:p>
      <w:pPr>
        <w:pStyle w:val="TextBody"/>
        <w:spacing w:before="90" w:after="0"/>
        <w:rPr>
          <w:rFonts w:ascii="Times New Roman" w:hAnsi="Times New Roman"/>
          <w:i/>
          <w:sz w:val="20"/>
        </w:rPr>
      </w:pPr>
      <w:r>
        <w:rPr>
          <w:rFonts w:ascii="Times New Roman" w:hAnsi="Times New Roman"/>
          <w:i/>
          <w:sz w:val="20"/>
        </w:rPr>
        <w:t xml:space="preserve">Cash and Cash Equivalents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030"/>
        <w:gridCol w:w="753"/>
        <w:gridCol w:w="163"/>
        <w:gridCol w:w="642"/>
        <w:gridCol w:w="120"/>
        <w:gridCol w:w="753"/>
        <w:gridCol w:w="163"/>
        <w:gridCol w:w="642"/>
        <w:gridCol w:w="122"/>
      </w:tblGrid>
      <w:tr>
        <w:trPr/>
        <w:tc>
          <w:tcPr>
            <w:tcW w:w="603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6030"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8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2011</w:t>
            </w:r>
          </w:p>
        </w:tc>
        <w:tc>
          <w:tcPr>
            <w:tcW w:w="120"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8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2010</w:t>
            </w:r>
          </w:p>
        </w:tc>
        <w:tc>
          <w:tcPr>
            <w:tcW w:w="122" w:type="dxa"/>
            <w:tcBorders/>
            <w:shd w:fill="auto" w:val="clear"/>
            <w:vAlign w:val="bottom"/>
          </w:tcPr>
          <w:p>
            <w:pPr>
              <w:pStyle w:val="TableContents"/>
              <w:spacing w:before="0" w:after="283"/>
              <w:rPr/>
            </w:pPr>
            <w:r>
              <w:rPr/>
              <w:t> </w:t>
            </w:r>
          </w:p>
        </w:tc>
      </w:tr>
      <w:tr>
        <w:trPr/>
        <w:tc>
          <w:tcPr>
            <w:tcW w:w="6030"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7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5,943</w:t>
            </w:r>
          </w:p>
        </w:tc>
        <w:tc>
          <w:tcPr>
            <w:tcW w:w="120"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7,025</w:t>
            </w:r>
          </w:p>
        </w:tc>
        <w:tc>
          <w:tcPr>
            <w:tcW w:w="122"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 of December 31, 2011, we had total cash and cash equivalents of $5.9 million, as compared to $7.0 million as of December 31, 2010. The net decrease of $1.1 million is primarily due to $7.0 million of cash used for operating activities, offset by $2 million of cash from the assignment of certain patent rights, plus approximately $4.0 million of net proceeds received from the sale of our common stock through two equity offerings. </w:t>
      </w:r>
    </w:p>
    <w:p>
      <w:pPr>
        <w:pStyle w:val="TextBody"/>
        <w:spacing w:before="270" w:after="0"/>
        <w:rPr>
          <w:rFonts w:ascii="Times New Roman" w:hAnsi="Times New Roman"/>
          <w:i/>
          <w:sz w:val="20"/>
        </w:rPr>
      </w:pPr>
      <w:r>
        <w:rPr>
          <w:rFonts w:ascii="Times New Roman" w:hAnsi="Times New Roman"/>
          <w:i/>
          <w:sz w:val="20"/>
        </w:rPr>
        <w:t xml:space="preserve">Cash Flows from Operating, Investing and Financing Activities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820"/>
        <w:gridCol w:w="544"/>
        <w:gridCol w:w="125"/>
        <w:gridCol w:w="545"/>
        <w:gridCol w:w="125"/>
        <w:gridCol w:w="430"/>
        <w:gridCol w:w="125"/>
        <w:gridCol w:w="545"/>
        <w:gridCol w:w="129"/>
      </w:tblGrid>
      <w:tr>
        <w:trPr/>
        <w:tc>
          <w:tcPr>
            <w:tcW w:w="682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82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189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w:t>
              <w:br/>
              <w:t>December 31,</w:t>
            </w:r>
          </w:p>
        </w:tc>
        <w:tc>
          <w:tcPr>
            <w:tcW w:w="129" w:type="dxa"/>
            <w:tcBorders/>
            <w:shd w:fill="auto" w:val="clear"/>
            <w:vAlign w:val="bottom"/>
          </w:tcPr>
          <w:p>
            <w:pPr>
              <w:pStyle w:val="TableContents"/>
              <w:spacing w:before="0" w:after="283"/>
              <w:rPr/>
            </w:pPr>
            <w:r>
              <w:rPr/>
              <w:t> </w:t>
            </w:r>
          </w:p>
        </w:tc>
      </w:tr>
      <w:tr>
        <w:trPr/>
        <w:tc>
          <w:tcPr>
            <w:tcW w:w="682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6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6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9" w:type="dxa"/>
            <w:tcBorders/>
            <w:shd w:fill="auto" w:val="clear"/>
            <w:vAlign w:val="bottom"/>
          </w:tcPr>
          <w:p>
            <w:pPr>
              <w:pStyle w:val="TableContents"/>
              <w:spacing w:before="0" w:after="283"/>
              <w:rPr/>
            </w:pPr>
            <w:r>
              <w:rPr/>
              <w:t> </w:t>
            </w:r>
          </w:p>
        </w:tc>
      </w:tr>
      <w:tr>
        <w:trPr/>
        <w:tc>
          <w:tcPr>
            <w:tcW w:w="682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w:t>
            </w:r>
          </w:p>
        </w:tc>
        <w:tc>
          <w:tcPr>
            <w:tcW w:w="5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82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20" w:type="dxa"/>
            <w:tcBorders/>
            <w:shd w:fill="CCEEFF"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5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2,006</w:t>
            </w:r>
          </w:p>
        </w:tc>
        <w:tc>
          <w:tcPr>
            <w:tcW w:w="125"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9" w:type="dxa"/>
            <w:tcBorders/>
            <w:shd w:fill="CCEEFF" w:val="clear"/>
            <w:vAlign w:val="bottom"/>
          </w:tcPr>
          <w:p>
            <w:pPr>
              <w:pStyle w:val="TableContents"/>
              <w:spacing w:before="0" w:after="283"/>
              <w:rPr/>
            </w:pPr>
            <w:r>
              <w:rPr/>
              <w:t>  </w:t>
            </w:r>
          </w:p>
        </w:tc>
      </w:tr>
      <w:tr>
        <w:trPr/>
        <w:tc>
          <w:tcPr>
            <w:tcW w:w="6820"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3,871</w:t>
            </w:r>
          </w:p>
        </w:tc>
        <w:tc>
          <w:tcPr>
            <w:tcW w:w="125"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7,321</w:t>
            </w:r>
          </w:p>
        </w:tc>
        <w:tc>
          <w:tcPr>
            <w:tcW w:w="129" w:type="dxa"/>
            <w:tcBorders/>
            <w:shd w:fill="auto" w:val="clear"/>
            <w:vAlign w:val="bottom"/>
          </w:tcPr>
          <w:p>
            <w:pPr>
              <w:pStyle w:val="TableContents"/>
              <w:spacing w:before="0" w:after="283"/>
              <w:rPr/>
            </w:pPr>
            <w:r>
              <w:rPr/>
              <w:t>  </w:t>
            </w:r>
          </w:p>
        </w:tc>
      </w:tr>
      <w:tr>
        <w:trPr/>
        <w:tc>
          <w:tcPr>
            <w:tcW w:w="6820"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820"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5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20"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Net cash used in operating activities for the year ended December 31, 2011 decreased $1.4 million compared with the 2010 period due to decreased R&amp;D and SG&amp;A expenses discussed above. </w:t>
      </w:r>
    </w:p>
    <w:p>
      <w:pPr>
        <w:pStyle w:val="TextBody"/>
        <w:spacing w:before="180" w:after="0"/>
        <w:rPr>
          <w:rFonts w:ascii="Times New Roman" w:hAnsi="Times New Roman"/>
          <w:sz w:val="20"/>
        </w:rPr>
      </w:pPr>
      <w:r>
        <w:rPr>
          <w:rFonts w:ascii="Times New Roman" w:hAnsi="Times New Roman"/>
          <w:sz w:val="20"/>
        </w:rPr>
        <w:t xml:space="preserve">Net cash flows provided by investing activities for the year ended December 31, 2011 was primarily due to $2 million of cash received from the assignment of patent rights during 2011. Net cash provided by financing activities of approximately $3.9 million for the year ended December 31, 2011 is comprised of $4.0 million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net proceeds from the sales of our common stock, less $146,000 in payments made on a vendor financing arrangement. For the year ended December 31, 2010, net cash provided by financing activities was $7.2 million of net proceeds from the sale of our common stock pursuant to an equity distribution agreement and $139,000 of proceeds received from exercises of stock options. </w:t>
      </w:r>
    </w:p>
    <w:p>
      <w:pPr>
        <w:pStyle w:val="TextBody"/>
        <w:spacing w:before="270" w:after="0"/>
        <w:rPr>
          <w:rFonts w:ascii="Times New Roman" w:hAnsi="Times New Roman"/>
          <w:i/>
          <w:sz w:val="20"/>
        </w:rPr>
      </w:pPr>
      <w:r>
        <w:rPr>
          <w:rFonts w:ascii="Times New Roman" w:hAnsi="Times New Roman"/>
          <w:i/>
          <w:sz w:val="20"/>
        </w:rPr>
        <w:t xml:space="preserve">Sources and Uses of Capital </w:t>
      </w:r>
    </w:p>
    <w:p>
      <w:pPr>
        <w:pStyle w:val="TextBody"/>
        <w:spacing w:before="90" w:after="0"/>
        <w:rPr>
          <w:rFonts w:ascii="Times New Roman" w:hAnsi="Times New Roman"/>
          <w:sz w:val="20"/>
        </w:rPr>
      </w:pPr>
      <w:r>
        <w:rPr>
          <w:rFonts w:ascii="Times New Roman" w:hAnsi="Times New Roman"/>
          <w:sz w:val="20"/>
        </w:rPr>
        <w:t xml:space="preserve">Our primary sources of liquidity to date have been capital raised from issuances of shares of our common and preferred stock, issuance of convertible promissory notes, and funds provided by the Merger. The primary uses of our capital resources to date have been to fund operating activities, including research, clinical development and drug manufacturing expenses, license payments, and spending on capital items. </w:t>
      </w:r>
    </w:p>
    <w:p>
      <w:pPr>
        <w:pStyle w:val="TextBody"/>
        <w:spacing w:before="180" w:after="0"/>
        <w:rPr>
          <w:rFonts w:ascii="Times New Roman" w:hAnsi="Times New Roman"/>
          <w:sz w:val="20"/>
        </w:rPr>
      </w:pPr>
      <w:r>
        <w:rPr>
          <w:rFonts w:ascii="Times New Roman" w:hAnsi="Times New Roman"/>
          <w:sz w:val="20"/>
        </w:rPr>
        <w:t xml:space="preserve">Considering the substantial additional time and costs associated with the development of Gencaro and our need to raise a significant amount of capital on acceptable terms to finance the planned clinical trial and our ongoing operations, we are evaluating strategic alternatives for funding our continued operations and development programs. We will need to raise substantial additional funding through public or private debt or equity transactions or a strategic combination or partnership, or government funding to support the continued clinical development of Gencaro, including planned clinical trial. In evaluating the substantial costs associated with development of rNAPc2 and our limited financial resources, further development of rNAPc2 will be dependent upon receipt of government or third party funding, which may not be available. </w:t>
      </w:r>
    </w:p>
    <w:p>
      <w:pPr>
        <w:pStyle w:val="TextBody"/>
        <w:spacing w:before="180" w:after="0"/>
        <w:rPr>
          <w:rFonts w:ascii="Times New Roman" w:hAnsi="Times New Roman"/>
          <w:sz w:val="20"/>
        </w:rPr>
      </w:pPr>
      <w:r>
        <w:rPr>
          <w:rFonts w:ascii="Times New Roman" w:hAnsi="Times New Roman"/>
          <w:sz w:val="20"/>
        </w:rPr>
        <w:t xml:space="preserve">On December 8, 2009, we entered into an equity distribution agreement, or the Agreement, with Wedbush Securities Inc., or the Agent, under which we could, from time to time, offer and sell its common stock through the Agent. On April 30, 2010, we amended the Agreement to permit us to sell up to an aggregate of $20 million in shares, which were registered on a registration statement on Form S-3 (File No. 333-148288). In the year ended December 31, 2010, we sold 1,164,600 shares of our common stock under this Agreement and realized $7.2 million of net proceeds. On May 23, 2011 the Company terminated this agreement. No shares of common stock were sold during 2011 under this agreement. </w:t>
      </w:r>
    </w:p>
    <w:p>
      <w:pPr>
        <w:pStyle w:val="TextBody"/>
        <w:spacing w:before="180" w:after="0"/>
        <w:rPr>
          <w:rFonts w:ascii="Times New Roman" w:hAnsi="Times New Roman"/>
          <w:sz w:val="20"/>
        </w:rPr>
      </w:pPr>
      <w:r>
        <w:rPr>
          <w:rFonts w:ascii="Times New Roman" w:hAnsi="Times New Roman"/>
          <w:sz w:val="20"/>
        </w:rPr>
        <w:t xml:space="preserve">On April 18, 2011, we entered into a placement agency agreement with Roth Capital Partners, LLC, pursuant to which it agreed to use its reasonable efforts to arrange for the sale of up to 1,680,672 shares of ARCAs common stock and warrants to purchase up to 1,176,471 shares of ARCAs common stock in a registered direct public offering. We paid the placement agent an aggregate fee equal to 7% of the gross proceeds received in the offering and reimbursed the Placement Agent for its expenses incurred in connection with the offering, with a maximum expense reimbursement that, when aggregated with the 7% fee, did not exceed 8% of our gross proceeds. </w:t>
      </w:r>
    </w:p>
    <w:p>
      <w:pPr>
        <w:pStyle w:val="TextBody"/>
        <w:spacing w:before="180" w:after="0"/>
        <w:rPr>
          <w:rFonts w:ascii="Times New Roman" w:hAnsi="Times New Roman"/>
          <w:sz w:val="20"/>
        </w:rPr>
      </w:pPr>
      <w:r>
        <w:rPr>
          <w:rFonts w:ascii="Times New Roman" w:hAnsi="Times New Roman"/>
          <w:sz w:val="20"/>
        </w:rPr>
        <w:t xml:space="preserve">On April 18, 2011, we also entered into separate subscription agreements with certain institutional investors in connection with the offering, pursuant to which we sold an aggregate of 1,680,672 shares of our common stock and warrants to purchase a total of 1,176,471 shares of our common stock to the investors for aggregate gross proceeds, before deducting fees to the placement agent and other offering expenses payable by us, of approximately $3.0 million. Our net proceeds after deducting placement agent fees and offering expenses were approximately $2.5 million and the offering closed on April 21, 2011. </w:t>
      </w:r>
    </w:p>
    <w:p>
      <w:pPr>
        <w:pStyle w:val="TextBody"/>
        <w:spacing w:before="180" w:after="0"/>
        <w:rPr>
          <w:rFonts w:ascii="Times New Roman" w:hAnsi="Times New Roman"/>
          <w:sz w:val="20"/>
        </w:rPr>
      </w:pPr>
      <w:r>
        <w:rPr>
          <w:rFonts w:ascii="Times New Roman" w:hAnsi="Times New Roman"/>
          <w:sz w:val="20"/>
        </w:rPr>
        <w:t xml:space="preserve">The common stock and warrants were sold in units, with each unit consisting of one share of our common stock and a warrant to purchase 0.7 shares of our common stock. The purchase price per unit was $1.785. Subject to certain ownership limitations, the warrants are exercisable as of October 21, 2011 and will remain exercisable for five years thereafter at an exercise price of $2.52 per share. </w:t>
      </w:r>
    </w:p>
    <w:p>
      <w:pPr>
        <w:pStyle w:val="TextBody"/>
        <w:spacing w:before="180" w:after="0"/>
        <w:rPr>
          <w:rFonts w:ascii="Times New Roman" w:hAnsi="Times New Roman"/>
          <w:sz w:val="20"/>
        </w:rPr>
      </w:pPr>
      <w:r>
        <w:rPr>
          <w:rFonts w:ascii="Times New Roman" w:hAnsi="Times New Roman"/>
          <w:sz w:val="20"/>
        </w:rPr>
        <w:t xml:space="preserve">On December 21, 2011, we entered into separate Subscription Agreements (the Purchase Agreements) with various institutional investors in connection with a private placement of our common stock and warrants. Pursuant to the Purchase Agreements, we agreed to sell and issue an aggregate of 1,666,666 shares of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common stock and warrants to purchase up to an additional 1,250,000 shares of our common stock at a total purchase price of $1.05 per unit. The investors in the private placement received warrants to purchase 0.75 shares of common stock for each share of common stock purchased. </w:t>
      </w:r>
    </w:p>
    <w:p>
      <w:pPr>
        <w:pStyle w:val="TextBody"/>
        <w:spacing w:before="180" w:after="0"/>
        <w:rPr>
          <w:rFonts w:ascii="Times New Roman" w:hAnsi="Times New Roman"/>
          <w:sz w:val="20"/>
        </w:rPr>
      </w:pPr>
      <w:r>
        <w:rPr>
          <w:rFonts w:ascii="Times New Roman" w:hAnsi="Times New Roman"/>
          <w:sz w:val="20"/>
        </w:rPr>
        <w:t xml:space="preserve">The warrants issued pursuant to the Purchase Agreements (the Warrants) are exercisable for a period of five years from the six month anniversary of the closing date of the private placement and have an exercise price of $1.485 per share, equal to 110% of the closing sales price of ARCAs common stock on the NASDAQ Capital Market on December 21, 2011. </w:t>
      </w:r>
    </w:p>
    <w:p>
      <w:pPr>
        <w:pStyle w:val="TextBody"/>
        <w:spacing w:before="180" w:after="0"/>
        <w:rPr>
          <w:rFonts w:ascii="Times New Roman" w:hAnsi="Times New Roman"/>
          <w:sz w:val="20"/>
        </w:rPr>
      </w:pPr>
      <w:r>
        <w:rPr>
          <w:rFonts w:ascii="Times New Roman" w:hAnsi="Times New Roman"/>
          <w:sz w:val="20"/>
        </w:rPr>
        <w:t xml:space="preserve">We raised gross proceeds of approximately $1.75 million in connection with the private placement. The net proceeds, after deducting the payment of a fee of approximately $100,000 to Roth Capital Partners, as placement agent, and other offering expenses, were approximately $1.4 million. We agreed to use the net proceeds from the private placement solely for general working capital purposes. The private placement transaction closed that same day. </w:t>
      </w:r>
    </w:p>
    <w:p>
      <w:pPr>
        <w:pStyle w:val="TextBody"/>
        <w:spacing w:before="180" w:after="0"/>
        <w:rPr>
          <w:rFonts w:ascii="Times New Roman" w:hAnsi="Times New Roman"/>
          <w:sz w:val="20"/>
        </w:rPr>
      </w:pPr>
      <w:r>
        <w:rPr>
          <w:rFonts w:ascii="Times New Roman" w:hAnsi="Times New Roman"/>
          <w:sz w:val="20"/>
        </w:rPr>
        <w:t xml:space="preserve">Pursuant to the terms of a Registration Rights Agreement (the Rights Agreement) to be entered into at the closing of the transactions, we granted to the investors certain registration rights related to the shares of common stock to be sold in the private placement and the shares of common stock underlying the Warrants to be issued. We filed a registration statement, in accordance with the terms of the Rights Agreement, for the resale of the shares of common stock to be issued pursuant to the Purchase Agreements and the shares of common stock underlying the Warrants. The registration statement was declared effective by the Securities and Exchange Commission on January 26, 2012. </w:t>
      </w:r>
    </w:p>
    <w:p>
      <w:pPr>
        <w:pStyle w:val="TextBody"/>
        <w:spacing w:before="180" w:after="0"/>
        <w:rPr>
          <w:rFonts w:ascii="Times New Roman" w:hAnsi="Times New Roman"/>
          <w:sz w:val="20"/>
        </w:rPr>
      </w:pPr>
      <w:r>
        <w:rPr>
          <w:rFonts w:ascii="Times New Roman" w:hAnsi="Times New Roman"/>
          <w:sz w:val="20"/>
        </w:rPr>
        <w:t xml:space="preserve">In addition to the proceeds of the stock sales, we may seek more interim funding that will allow us to continue operations while we pursue a strategic combination, partnering, financing and licensing opportunities. We believe our cash and cash equivalents balance as of December 31, 2011 will be sufficient to fund our operations, at our current cost structure, through September 30, 2012. However, we are unable to assert that these funds are sufficient to fund operations beyond that date, and as a result, there is substantial doubt about our ability to continue as a going concern beyond September 30, 2012. The consolidated financial statements contained in this report have been prepared with the assumption that we will continue as a going concern and will be able to realize our assets and discharge our liabilities in the normal course of business and do not include any adjustments to reflect the possible future effects on the recoverability and classification of assets or the amounts and classification of liabilities that may result from our inability to continue as a going concern. We may not be able to raise sufficient capital on acceptable terms or at all to continue development of Gencaro or to continue operations and may not be able to execute any strategic transaction. </w:t>
      </w:r>
    </w:p>
    <w:p>
      <w:pPr>
        <w:pStyle w:val="TextBody"/>
        <w:spacing w:before="180" w:after="0"/>
        <w:rPr>
          <w:rFonts w:ascii="Times New Roman" w:hAnsi="Times New Roman"/>
          <w:sz w:val="20"/>
        </w:rPr>
      </w:pPr>
      <w:r>
        <w:rPr>
          <w:rFonts w:ascii="Times New Roman" w:hAnsi="Times New Roman"/>
          <w:sz w:val="20"/>
        </w:rPr>
        <w:t xml:space="preserve">Our liquidity, and ability to raise additional capital or complete any strategic transaction, depends on a number of factors, including, but not limited to,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costs and timing for an additional clinical trial in order to gain possible FDA approval for Gencaro;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market price of our stock and the availability and cost of additional equity capital from existing and potential new investors;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retain the listing of our common stock on the Nasdaq Capital Market;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and industry conditions affecting the availability and cost of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potential receipt of government or third party funding to further develop Gencaro or rNAPc2;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control costs associated with our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costs of filing, prosecuting, defending and enforcing any patent claims and other intellectual property rights;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terms and conditions of our existing collaborative and licensing agreements.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sale of additional equity or convertible debt securities would likely result in substantial additional dilution to our stockholders. If we raise additional funds through the incurrence of indebtedness, the obligations related to such indebtedness would be senior to rights of holders of our capital stock and could contain covenants that would restrict our operations. We also cannot predict what consideration might be available, if any, to us or our stockholders, in connection with any strategic transaction. Should strategic alternatives or additional capital not be available to us in the near term, or not be available on acceptable terms, we may be unable to realize value from our assets and discharge our liabilities in the normal course of business which may, among other alternatives, cause us to further delay, substantially reduce or discontinue operational activities to conserve its cash resources. </w:t>
      </w:r>
    </w:p>
    <w:p>
      <w:pPr>
        <w:pStyle w:val="TextBody"/>
        <w:spacing w:before="270" w:after="0"/>
        <w:rPr>
          <w:rFonts w:ascii="Times New Roman" w:hAnsi="Times New Roman"/>
          <w:b/>
          <w:i/>
          <w:sz w:val="20"/>
        </w:rPr>
      </w:pPr>
      <w:r>
        <w:rPr>
          <w:rFonts w:ascii="Times New Roman" w:hAnsi="Times New Roman"/>
          <w:b/>
          <w:i/>
          <w:sz w:val="20"/>
        </w:rPr>
        <w:t xml:space="preserve">Critical Accounting Policies and Estimates </w:t>
      </w:r>
    </w:p>
    <w:p>
      <w:pPr>
        <w:pStyle w:val="TextBody"/>
        <w:spacing w:before="90" w:after="0"/>
        <w:rPr>
          <w:rFonts w:ascii="Times New Roman" w:hAnsi="Times New Roman"/>
          <w:sz w:val="20"/>
        </w:rPr>
      </w:pPr>
      <w:r>
        <w:rPr>
          <w:rFonts w:ascii="Times New Roman" w:hAnsi="Times New Roman"/>
          <w:sz w:val="20"/>
        </w:rPr>
        <w:t xml:space="preserve">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While our significant accounting policies are described in Note 1 of Notes to the Consolidated Financial Statements included within Item 8 in this report, we believe the following critical accounting policy affected our most significant judgments, assumptions, and estimates used in the preparation of our consolidated financial statements and, therefore, is important in understanding our financial condition and results of operations. </w:t>
      </w:r>
    </w:p>
    <w:p>
      <w:pPr>
        <w:pStyle w:val="TextBody"/>
        <w:spacing w:before="270" w:after="0"/>
        <w:rPr>
          <w:rFonts w:ascii="Times New Roman" w:hAnsi="Times New Roman"/>
          <w:i/>
          <w:sz w:val="20"/>
        </w:rPr>
      </w:pPr>
      <w:r>
        <w:rPr>
          <w:rFonts w:ascii="Times New Roman" w:hAnsi="Times New Roman"/>
          <w:i/>
          <w:sz w:val="20"/>
        </w:rPr>
        <w:t xml:space="preserve">Long-Lived Assets and Impairments </w:t>
      </w:r>
    </w:p>
    <w:p>
      <w:pPr>
        <w:pStyle w:val="TextBody"/>
        <w:spacing w:before="90" w:after="0"/>
        <w:rPr>
          <w:rFonts w:ascii="Times New Roman" w:hAnsi="Times New Roman"/>
          <w:sz w:val="20"/>
        </w:rPr>
      </w:pPr>
      <w:r>
        <w:rPr>
          <w:rFonts w:ascii="Times New Roman" w:hAnsi="Times New Roman"/>
          <w:sz w:val="20"/>
        </w:rPr>
        <w:t xml:space="preserve">We review long-lived assets whenever events or changes in circumstances indicate that the carrying value of such assets may not be recoverable. As a development stage company, we have not generated positive cash flows from operations, and such cash flows may not materialize for a significant period in the future, if ever. Additionally, we may make changes to our business plan that would result in changes to expected cash flows from long-lived assets. It is reasonably possible that future evaluations of long-lived assets, including changes from our current expected use of long-lived assets, may result in material impairments. </w:t>
      </w:r>
    </w:p>
    <w:p>
      <w:pPr>
        <w:pStyle w:val="TextBody"/>
        <w:spacing w:before="270" w:after="0"/>
        <w:rPr>
          <w:rFonts w:ascii="Times New Roman" w:hAnsi="Times New Roman"/>
          <w:i/>
          <w:sz w:val="20"/>
        </w:rPr>
      </w:pPr>
      <w:r>
        <w:rPr>
          <w:rFonts w:ascii="Times New Roman" w:hAnsi="Times New Roman"/>
          <w:i/>
          <w:sz w:val="20"/>
        </w:rPr>
        <w:t xml:space="preserve">Accrued Expenses </w:t>
      </w:r>
    </w:p>
    <w:p>
      <w:pPr>
        <w:pStyle w:val="TextBody"/>
        <w:spacing w:before="90" w:after="0"/>
        <w:rPr>
          <w:rFonts w:ascii="Times New Roman" w:hAnsi="Times New Roman"/>
          <w:sz w:val="20"/>
        </w:rPr>
      </w:pPr>
      <w:r>
        <w:rPr>
          <w:rFonts w:ascii="Times New Roman" w:hAnsi="Times New Roman"/>
          <w:sz w:val="20"/>
        </w:rPr>
        <w:t xml:space="preserve">As part of the process of preparing our financial statements, we are required to estimate accrued expenses. This process involves identifying services that third parties have performed on our behalf and estimating the level of service performed and the associated cost incurred for these services as of the balance sheet date. Examples of estimated accrued expenses include contract service fees, such as fees payable to contract manufacturers in connection with the production of materials related to our drug product, and professional service fees, such as attorneys, consultants, and clinical research organizations. We develop estimates of liabilities using our judgment based upon the facts and circumstances known at the time. </w:t>
      </w:r>
    </w:p>
    <w:p>
      <w:pPr>
        <w:pStyle w:val="TextBody"/>
        <w:spacing w:before="270" w:after="0"/>
        <w:rPr>
          <w:rFonts w:ascii="Times New Roman" w:hAnsi="Times New Roman"/>
          <w:b/>
          <w:i/>
          <w:sz w:val="20"/>
        </w:rPr>
      </w:pPr>
      <w:r>
        <w:rPr>
          <w:rFonts w:ascii="Times New Roman" w:hAnsi="Times New Roman"/>
          <w:b/>
          <w:i/>
          <w:sz w:val="20"/>
        </w:rPr>
        <w:t xml:space="preserve">Off-Balance Sheet Arrangements </w:t>
      </w:r>
    </w:p>
    <w:p>
      <w:pPr>
        <w:pStyle w:val="TextBody"/>
        <w:spacing w:before="90" w:after="0"/>
        <w:rPr>
          <w:rFonts w:ascii="Times New Roman" w:hAnsi="Times New Roman"/>
          <w:sz w:val="20"/>
        </w:rPr>
      </w:pPr>
      <w:r>
        <w:rPr>
          <w:rFonts w:ascii="Times New Roman" w:hAnsi="Times New Roman"/>
          <w:sz w:val="20"/>
        </w:rPr>
        <w:t xml:space="preserve">We have not participated in any transactions with unconsolidated entities, such as special purpose entities, which would have been established for the purpose of facilitating off-balance sheet arrangements. </w:t>
      </w:r>
    </w:p>
    <w:p>
      <w:pPr>
        <w:pStyle w:val="TextBody"/>
        <w:spacing w:before="270" w:after="0"/>
        <w:rPr>
          <w:rFonts w:ascii="Times New Roman" w:hAnsi="Times New Roman"/>
          <w:b/>
          <w:i/>
          <w:sz w:val="20"/>
        </w:rPr>
      </w:pPr>
      <w:r>
        <w:rPr>
          <w:rFonts w:ascii="Times New Roman" w:hAnsi="Times New Roman"/>
          <w:b/>
          <w:i/>
          <w:sz w:val="20"/>
        </w:rPr>
        <w:t xml:space="preserve">Indemnifications </w:t>
      </w:r>
    </w:p>
    <w:p>
      <w:pPr>
        <w:pStyle w:val="TextBody"/>
        <w:spacing w:before="90" w:after="0"/>
        <w:rPr>
          <w:rFonts w:ascii="Times New Roman" w:hAnsi="Times New Roman"/>
          <w:sz w:val="20"/>
        </w:rPr>
      </w:pPr>
      <w:r>
        <w:rPr>
          <w:rFonts w:ascii="Times New Roman" w:hAnsi="Times New Roman"/>
          <w:sz w:val="20"/>
        </w:rPr>
        <w:t xml:space="preserve">In the ordinary course of business, we enter into contractual arrangements under which we may agree to indemnify certain parties from any losses incurred relating to the services they perform on our behalf or for losses arising from certain events as defined within the particular contract. Such indemnification obligations may not be subject to maximum loss clauses. We have entered into indemnity agreements with each of our directors, officers and certain employees. Such indemnity agreements contain provisions, which are in some respects broader than the specific indemnification provisions contained in Delaware law. We also maintain an insurance policy for our directors and executive officers insuring against certain liabilities arising in their capacities as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12" w:name="tx280818_10"/>
            <w:bookmarkEnd w:id="12"/>
            <w:r>
              <w:rPr>
                <w:rFonts w:ascii="Times New Roman" w:hAnsi="Times New Roman"/>
                <w:b/>
                <w:sz w:val="20"/>
              </w:rPr>
              <w:t>Item 7A.</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Quantitative and Qualitative Disclosures About Market Risk</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3" w:name="tx280818_11"/>
            <w:bookmarkEnd w:id="13"/>
            <w:r>
              <w:rPr>
                <w:rFonts w:ascii="Times New Roman" w:hAnsi="Times New Roman"/>
                <w:b/>
                <w:sz w:val="20"/>
              </w:rPr>
              <w:t>Item 8.</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Financial Statements and Supplementary Data</w:t>
            </w:r>
            <w:r>
              <w:rPr>
                <w:rFonts w:ascii="Times New Roman" w:hAnsi="Times New Roman"/>
                <w:sz w:val="20"/>
              </w:rPr>
              <w:t xml:space="preserve">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65"/>
        <w:gridCol w:w="312"/>
        <w:gridCol w:w="63"/>
        <w:gridCol w:w="243"/>
        <w:gridCol w:w="122"/>
      </w:tblGrid>
      <w:tr>
        <w:trPr/>
        <w:tc>
          <w:tcPr>
            <w:tcW w:w="946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6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2" w:type="dxa"/>
            <w:tcBorders/>
            <w:shd w:fill="auto" w:val="clear"/>
            <w:vAlign w:val="bottom"/>
          </w:tcPr>
          <w:p>
            <w:pPr>
              <w:pStyle w:val="TableContents"/>
              <w:spacing w:before="0" w:after="283"/>
              <w:rPr/>
            </w:pPr>
            <w:r>
              <w:rPr/>
              <w:t> </w:t>
            </w:r>
          </w:p>
        </w:tc>
      </w:tr>
      <w:tr>
        <w:trPr/>
        <w:tc>
          <w:tcPr>
            <w:tcW w:w="9465" w:type="dxa"/>
            <w:tcBorders/>
            <w:shd w:fill="auto" w:val="clear"/>
          </w:tcPr>
          <w:p>
            <w:pPr>
              <w:pStyle w:val="TableContents"/>
              <w:spacing w:before="0" w:after="283"/>
              <w:rPr/>
            </w:pPr>
            <w:hyperlink w:anchor="tx280818_12">
              <w:r>
                <w:rPr>
                  <w:rStyle w:val="InternetLink"/>
                  <w:rFonts w:ascii="Times New Roman" w:hAnsi="Times New Roman"/>
                  <w:sz w:val="20"/>
                </w:rPr>
                <w:t>Report of Independent Registered Public Accounting Firm, KPMG LLP</w:t>
              </w:r>
            </w:hyperlink>
          </w:p>
        </w:tc>
        <w:tc>
          <w:tcPr>
            <w:tcW w:w="31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2" w:type="dxa"/>
            <w:tcBorders/>
            <w:shd w:fill="auto" w:val="clear"/>
            <w:vAlign w:val="bottom"/>
          </w:tcPr>
          <w:p>
            <w:pPr>
              <w:pStyle w:val="TableContents"/>
              <w:spacing w:before="0" w:after="283"/>
              <w:rPr/>
            </w:pPr>
            <w:r>
              <w:rPr/>
              <w:t>  </w:t>
            </w:r>
          </w:p>
        </w:tc>
      </w:tr>
      <w:tr>
        <w:trPr>
          <w:trHeight w:val="120" w:hRule="atLeast"/>
        </w:trPr>
        <w:tc>
          <w:tcPr>
            <w:tcW w:w="946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9465" w:type="dxa"/>
            <w:tcBorders/>
            <w:shd w:fill="auto" w:val="clear"/>
          </w:tcPr>
          <w:p>
            <w:pPr>
              <w:pStyle w:val="TableContents"/>
              <w:spacing w:before="0" w:after="283"/>
              <w:rPr/>
            </w:pPr>
            <w:hyperlink w:anchor="tx280818_13">
              <w:r>
                <w:rPr>
                  <w:rStyle w:val="InternetLink"/>
                  <w:rFonts w:ascii="Times New Roman" w:hAnsi="Times New Roman"/>
                  <w:sz w:val="20"/>
                </w:rPr>
                <w:t>Consolidated Balance Sheets as of December 31, 2011 and 2010</w:t>
              </w:r>
            </w:hyperlink>
          </w:p>
        </w:tc>
        <w:tc>
          <w:tcPr>
            <w:tcW w:w="31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2" w:type="dxa"/>
            <w:tcBorders/>
            <w:shd w:fill="auto" w:val="clear"/>
            <w:vAlign w:val="bottom"/>
          </w:tcPr>
          <w:p>
            <w:pPr>
              <w:pStyle w:val="TableContents"/>
              <w:spacing w:before="0" w:after="283"/>
              <w:rPr/>
            </w:pPr>
            <w:r>
              <w:rPr/>
              <w:t>  </w:t>
            </w:r>
          </w:p>
        </w:tc>
      </w:tr>
      <w:tr>
        <w:trPr>
          <w:trHeight w:val="120" w:hRule="atLeast"/>
        </w:trPr>
        <w:tc>
          <w:tcPr>
            <w:tcW w:w="946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9465" w:type="dxa"/>
            <w:tcBorders/>
            <w:shd w:fill="auto" w:val="clear"/>
          </w:tcPr>
          <w:p>
            <w:pPr>
              <w:pStyle w:val="TableContents"/>
              <w:spacing w:before="0" w:after="283"/>
              <w:rPr/>
            </w:pPr>
            <w:hyperlink w:anchor="tx280818_14">
              <w:r>
                <w:rPr>
                  <w:rStyle w:val="InternetLink"/>
                  <w:rFonts w:ascii="Times New Roman" w:hAnsi="Times New Roman"/>
                  <w:sz w:val="20"/>
                </w:rPr>
                <w:t>Consolidated Statements of Operations for the years ended December  31, 2011 and 2010 and for the period from December 17, 2001 (date of inception) to December 31, 2011</w:t>
              </w:r>
            </w:hyperlink>
          </w:p>
        </w:tc>
        <w:tc>
          <w:tcPr>
            <w:tcW w:w="31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2" w:type="dxa"/>
            <w:tcBorders/>
            <w:shd w:fill="auto" w:val="clear"/>
            <w:vAlign w:val="bottom"/>
          </w:tcPr>
          <w:p>
            <w:pPr>
              <w:pStyle w:val="TableContents"/>
              <w:spacing w:before="0" w:after="283"/>
              <w:rPr/>
            </w:pPr>
            <w:r>
              <w:rPr/>
              <w:t>  </w:t>
            </w:r>
          </w:p>
        </w:tc>
      </w:tr>
      <w:tr>
        <w:trPr>
          <w:trHeight w:val="120" w:hRule="atLeast"/>
        </w:trPr>
        <w:tc>
          <w:tcPr>
            <w:tcW w:w="946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9465" w:type="dxa"/>
            <w:tcBorders/>
            <w:shd w:fill="auto" w:val="clear"/>
          </w:tcPr>
          <w:p>
            <w:pPr>
              <w:pStyle w:val="TableContents"/>
              <w:spacing w:before="0" w:after="283"/>
              <w:rPr/>
            </w:pPr>
            <w:hyperlink w:anchor="tx280818_15">
              <w:r>
                <w:rPr>
                  <w:rStyle w:val="InternetLink"/>
                  <w:rFonts w:ascii="Times New Roman" w:hAnsi="Times New Roman"/>
                  <w:sz w:val="20"/>
                </w:rPr>
                <w:t>Consolidated Statements of Preferred Stock and Stockholders Equity for the years ended December  31, 2011 and 2010 and for the period from December 17, 2001 (date of inception) to December 31, 2011</w:t>
              </w:r>
            </w:hyperlink>
          </w:p>
        </w:tc>
        <w:tc>
          <w:tcPr>
            <w:tcW w:w="31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2" w:type="dxa"/>
            <w:tcBorders/>
            <w:shd w:fill="auto" w:val="clear"/>
            <w:vAlign w:val="bottom"/>
          </w:tcPr>
          <w:p>
            <w:pPr>
              <w:pStyle w:val="TableContents"/>
              <w:spacing w:before="0" w:after="283"/>
              <w:rPr/>
            </w:pPr>
            <w:r>
              <w:rPr/>
              <w:t>  </w:t>
            </w:r>
          </w:p>
        </w:tc>
      </w:tr>
      <w:tr>
        <w:trPr>
          <w:trHeight w:val="120" w:hRule="atLeast"/>
        </w:trPr>
        <w:tc>
          <w:tcPr>
            <w:tcW w:w="946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9465" w:type="dxa"/>
            <w:tcBorders/>
            <w:shd w:fill="auto" w:val="clear"/>
          </w:tcPr>
          <w:p>
            <w:pPr>
              <w:pStyle w:val="TableContents"/>
              <w:spacing w:before="0" w:after="283"/>
              <w:rPr/>
            </w:pPr>
            <w:hyperlink w:anchor="tx280818_16">
              <w:r>
                <w:rPr>
                  <w:rStyle w:val="InternetLink"/>
                  <w:rFonts w:ascii="Times New Roman" w:hAnsi="Times New Roman"/>
                  <w:sz w:val="20"/>
                </w:rPr>
                <w:t>Consolidated Statements of Cash Flows for the years ended December  31, 2011 and 2010 and for the period from December 17, 2001 (date of inception) to December 31, 2011</w:t>
              </w:r>
            </w:hyperlink>
          </w:p>
        </w:tc>
        <w:tc>
          <w:tcPr>
            <w:tcW w:w="31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2" w:type="dxa"/>
            <w:tcBorders/>
            <w:shd w:fill="auto" w:val="clear"/>
            <w:vAlign w:val="bottom"/>
          </w:tcPr>
          <w:p>
            <w:pPr>
              <w:pStyle w:val="TableContents"/>
              <w:spacing w:before="0" w:after="283"/>
              <w:rPr/>
            </w:pPr>
            <w:r>
              <w:rPr/>
              <w:t>  </w:t>
            </w:r>
          </w:p>
        </w:tc>
      </w:tr>
      <w:tr>
        <w:trPr>
          <w:trHeight w:val="120" w:hRule="atLeast"/>
        </w:trPr>
        <w:tc>
          <w:tcPr>
            <w:tcW w:w="946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r>
      <w:tr>
        <w:trPr/>
        <w:tc>
          <w:tcPr>
            <w:tcW w:w="9465" w:type="dxa"/>
            <w:tcBorders/>
            <w:shd w:fill="auto" w:val="clear"/>
          </w:tcPr>
          <w:p>
            <w:pPr>
              <w:pStyle w:val="TableContents"/>
              <w:spacing w:before="0" w:after="283"/>
              <w:rPr/>
            </w:pPr>
            <w:hyperlink w:anchor="tx280818_17">
              <w:r>
                <w:rPr>
                  <w:rStyle w:val="InternetLink"/>
                  <w:rFonts w:ascii="Times New Roman" w:hAnsi="Times New Roman"/>
                  <w:sz w:val="20"/>
                </w:rPr>
                <w:t>Notes to Consolidated Financial Statements</w:t>
              </w:r>
            </w:hyperlink>
          </w:p>
        </w:tc>
        <w:tc>
          <w:tcPr>
            <w:tcW w:w="31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280818_12"/>
      <w:bookmarkEnd w:id="14"/>
      <w:r>
        <w:rPr>
          <w:rFonts w:ascii="Times New Roman" w:hAnsi="Times New Roman"/>
          <w:b/>
          <w:sz w:val="20"/>
        </w:rPr>
        <w:t xml:space="preserve">Report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The Board of Directors and Stockholders </w:t>
      </w:r>
    </w:p>
    <w:p>
      <w:pPr>
        <w:pStyle w:val="TextBody"/>
        <w:spacing w:before="0" w:after="0"/>
        <w:rPr>
          <w:rFonts w:ascii="Times New Roman" w:hAnsi="Times New Roman"/>
          <w:sz w:val="20"/>
        </w:rPr>
      </w:pPr>
      <w:r>
        <w:rPr>
          <w:rFonts w:ascii="Times New Roman" w:hAnsi="Times New Roman"/>
          <w:sz w:val="20"/>
        </w:rPr>
        <w:t xml:space="preserve">ARCA biopharma, Inc.: </w:t>
      </w:r>
    </w:p>
    <w:p>
      <w:pPr>
        <w:pStyle w:val="TextBody"/>
        <w:spacing w:before="180" w:after="0"/>
        <w:rPr>
          <w:rFonts w:ascii="Times New Roman" w:hAnsi="Times New Roman"/>
          <w:sz w:val="20"/>
        </w:rPr>
      </w:pPr>
      <w:r>
        <w:rPr>
          <w:rFonts w:ascii="Times New Roman" w:hAnsi="Times New Roman"/>
          <w:sz w:val="20"/>
        </w:rPr>
        <w:t xml:space="preserve">We have audited the accompanying consolidated balance sheets of ARCA biopharma, Inc. (a development stage enterprise) and subsidiaries (the Company) as of December 31, 2011 and 2010, and the related consolidated statements of operations, preferred stock and stockholders equity (deficit), and cash flows for each of the years in the two-year period ended December 31, 2011 and for the period from December 17, 2001 (date of inception) to December 31, 2011. These consolidated financial statements are the responsibility of the Companys management. Our responsibility is to express an opinion on these consolidated financial statements based on our audits. </w:t>
      </w:r>
    </w:p>
    <w:p>
      <w:pPr>
        <w:pStyle w:val="TextBody"/>
        <w:spacing w:before="180" w:after="0"/>
        <w:rPr>
          <w:rFonts w:ascii="Times New Roman" w:hAnsi="Times New Roman"/>
          <w:sz w:val="20"/>
        </w:rPr>
      </w:pPr>
      <w:r>
        <w:rPr>
          <w:rFonts w:ascii="Times New Roman" w:hAnsi="Times New Roman"/>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80" w:after="0"/>
        <w:rPr>
          <w:rFonts w:ascii="Times New Roman" w:hAnsi="Times New Roman"/>
          <w:sz w:val="20"/>
        </w:rPr>
      </w:pPr>
      <w:r>
        <w:rPr>
          <w:rFonts w:ascii="Times New Roman" w:hAnsi="Times New Roman"/>
          <w:sz w:val="20"/>
        </w:rPr>
        <w:t xml:space="preserve">In our opinion, the consolidated financial statements referred to above present fairly, in all material respects, the financial position of ARCA biopharma, Inc. (a development stage enterprise) and subsidiaries as of December 31, 2011 and 2010, and the results of their operations and their cash flows for each of the years in the two-year period ended December 31, 2011 and for the period from December 17, 2001 (date of inception) to December 31, 2011, in conformity with U.S. generally accepted accounting principles. </w:t>
      </w:r>
    </w:p>
    <w:p>
      <w:pPr>
        <w:pStyle w:val="TextBody"/>
        <w:spacing w:before="180" w:after="0"/>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suffered recurring losses from operations and is dependent upon raising additional funds from strategic transactions, sales of equity, and/or issuance of debt. The Companys ability to consummate such transactions is uncertain. As a result, there is substantial doubt about the Companys ability to continue as a going concern. Managements plans in regard to these matters are also described in note 1. The consolidated financial statements do not include any adjustments that might result from the outcome of this uncertainty. </w:t>
      </w:r>
    </w:p>
    <w:p>
      <w:pPr>
        <w:pStyle w:val="TextBody"/>
        <w:spacing w:before="270" w:after="0"/>
        <w:rPr>
          <w:rFonts w:ascii="Times New Roman" w:hAnsi="Times New Roman"/>
          <w:sz w:val="20"/>
        </w:rPr>
      </w:pPr>
      <w:r>
        <w:rPr>
          <w:rFonts w:ascii="Times New Roman" w:hAnsi="Times New Roman"/>
          <w:sz w:val="20"/>
        </w:rPr>
        <w:t xml:space="preserve">/s/ KPMG LLP </w:t>
      </w:r>
    </w:p>
    <w:p>
      <w:pPr>
        <w:pStyle w:val="TextBody"/>
        <w:spacing w:before="180" w:after="0"/>
        <w:rPr>
          <w:rFonts w:ascii="Times New Roman" w:hAnsi="Times New Roman"/>
          <w:sz w:val="20"/>
        </w:rPr>
      </w:pPr>
      <w:r>
        <w:rPr>
          <w:rFonts w:ascii="Times New Roman" w:hAnsi="Times New Roman"/>
          <w:sz w:val="20"/>
        </w:rPr>
        <w:t xml:space="preserve">Denver, Colorado </w:t>
      </w:r>
    </w:p>
    <w:p>
      <w:pPr>
        <w:pStyle w:val="TextBody"/>
        <w:spacing w:before="0" w:after="0"/>
        <w:rPr>
          <w:rFonts w:ascii="Times New Roman" w:hAnsi="Times New Roman"/>
          <w:sz w:val="20"/>
        </w:rPr>
      </w:pPr>
      <w:r>
        <w:rPr>
          <w:rFonts w:ascii="Times New Roman" w:hAnsi="Times New Roman"/>
          <w:sz w:val="20"/>
        </w:rPr>
        <w:t xml:space="preserve">March 27,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280818_13"/>
      <w:bookmarkEnd w:id="15"/>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01"/>
        <w:gridCol w:w="528"/>
        <w:gridCol w:w="138"/>
        <w:gridCol w:w="734"/>
        <w:gridCol w:w="125"/>
        <w:gridCol w:w="479"/>
        <w:gridCol w:w="138"/>
        <w:gridCol w:w="734"/>
        <w:gridCol w:w="128"/>
      </w:tblGrid>
      <w:tr>
        <w:trPr/>
        <w:tc>
          <w:tcPr>
            <w:tcW w:w="720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201"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rPr/>
            </w:pPr>
            <w:r>
              <w:rPr/>
              <w:t>  </w:t>
            </w:r>
          </w:p>
        </w:tc>
        <w:tc>
          <w:tcPr>
            <w:tcW w:w="23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December 31,</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rPr/>
            </w:pPr>
            <w:r>
              <w:rPr/>
              <w:t>  </w:t>
            </w:r>
          </w:p>
        </w:tc>
        <w:tc>
          <w:tcPr>
            <w:tcW w:w="2348"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share</w:t>
              <w:br/>
              <w:t>and per share amounts)</w:t>
            </w:r>
          </w:p>
        </w:tc>
        <w:tc>
          <w:tcPr>
            <w:tcW w:w="128" w:type="dxa"/>
            <w:tcBorders/>
            <w:shd w:fill="auto" w:val="clear"/>
            <w:vAlign w:val="bottom"/>
          </w:tcPr>
          <w:p>
            <w:pPr>
              <w:pStyle w:val="TableContents"/>
              <w:spacing w:before="0" w:after="283"/>
              <w:rPr/>
            </w:pPr>
            <w:r>
              <w:rPr/>
              <w:t> </w:t>
            </w:r>
          </w:p>
        </w:tc>
      </w:tr>
      <w:tr>
        <w:trPr/>
        <w:tc>
          <w:tcPr>
            <w:tcW w:w="7201"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528" w:type="dxa"/>
            <w:tcBorders/>
            <w:shd w:fill="CCEEFF" w:val="clear"/>
            <w:vAlign w:val="bottom"/>
          </w:tcPr>
          <w:p>
            <w:pPr>
              <w:pStyle w:val="TableContents"/>
              <w:spacing w:before="0" w:after="283"/>
              <w:rPr/>
            </w:pPr>
            <w:r>
              <w:rPr/>
              <w:t>  </w:t>
            </w:r>
          </w:p>
        </w:tc>
        <w:tc>
          <w:tcPr>
            <w:tcW w:w="138" w:type="dxa"/>
            <w:tcBorders/>
            <w:shd w:fill="CCEEFF" w:val="clear"/>
          </w:tcPr>
          <w:p>
            <w:pPr>
              <w:pStyle w:val="TableContents"/>
              <w:spacing w:before="0" w:after="283"/>
              <w:rPr>
                <w:sz w:val="4"/>
                <w:szCs w:val="4"/>
              </w:rPr>
            </w:pPr>
            <w:r>
              <w:rPr>
                <w:sz w:val="4"/>
                <w:szCs w:val="4"/>
              </w:rPr>
            </w:r>
          </w:p>
        </w:tc>
        <w:tc>
          <w:tcPr>
            <w:tcW w:w="2210" w:type="dxa"/>
            <w:gridSpan w:val="5"/>
            <w:tcBorders/>
            <w:shd w:fill="CCEEFF" w:val="clear"/>
          </w:tcPr>
          <w:p>
            <w:pPr>
              <w:pStyle w:val="TableContents"/>
              <w:spacing w:before="0" w:after="283"/>
              <w:rPr>
                <w:sz w:val="4"/>
                <w:szCs w:val="4"/>
              </w:rPr>
            </w:pPr>
            <w:r>
              <w:rPr>
                <w:sz w:val="4"/>
                <w:szCs w:val="4"/>
              </w:rPr>
            </w:r>
          </w:p>
        </w:tc>
        <w:tc>
          <w:tcPr>
            <w:tcW w:w="128" w:type="dxa"/>
            <w:tcBorders/>
            <w:shd w:fill="CCEEFF" w:val="clear"/>
          </w:tcPr>
          <w:p>
            <w:pPr>
              <w:pStyle w:val="TableContents"/>
              <w:spacing w:before="0" w:after="283"/>
              <w:rPr>
                <w:sz w:val="4"/>
                <w:szCs w:val="4"/>
              </w:rPr>
            </w:pPr>
            <w:r>
              <w:rPr>
                <w:sz w:val="4"/>
                <w:szCs w:val="4"/>
              </w:rPr>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2210" w:type="dxa"/>
            <w:gridSpan w:val="5"/>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5,943</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7,025</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Other current assets</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6,212</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7,162</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128" w:type="dxa"/>
            <w:tcBorders/>
            <w:shd w:fill="auto" w:val="clear"/>
            <w:vAlign w:val="bottom"/>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6,502</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8,156</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LIABILITIES AND STOCKHOLDERS EQUITY</w:t>
            </w:r>
          </w:p>
        </w:tc>
        <w:tc>
          <w:tcPr>
            <w:tcW w:w="528" w:type="dxa"/>
            <w:tcBorders/>
            <w:shd w:fill="CCEEFF" w:val="clear"/>
            <w:vAlign w:val="bottom"/>
          </w:tcPr>
          <w:p>
            <w:pPr>
              <w:pStyle w:val="TableContents"/>
              <w:spacing w:before="0" w:after="283"/>
              <w:rPr/>
            </w:pPr>
            <w:r>
              <w:rPr/>
              <w:t>  </w:t>
            </w:r>
          </w:p>
        </w:tc>
        <w:tc>
          <w:tcPr>
            <w:tcW w:w="138" w:type="dxa"/>
            <w:tcBorders/>
            <w:shd w:fill="CCEEFF" w:val="clear"/>
          </w:tcPr>
          <w:p>
            <w:pPr>
              <w:pStyle w:val="TableContents"/>
              <w:spacing w:before="0" w:after="283"/>
              <w:rPr>
                <w:sz w:val="4"/>
                <w:szCs w:val="4"/>
              </w:rPr>
            </w:pPr>
            <w:r>
              <w:rPr>
                <w:sz w:val="4"/>
                <w:szCs w:val="4"/>
              </w:rPr>
            </w:r>
          </w:p>
        </w:tc>
        <w:tc>
          <w:tcPr>
            <w:tcW w:w="2210" w:type="dxa"/>
            <w:gridSpan w:val="5"/>
            <w:tcBorders/>
            <w:shd w:fill="CCEEFF" w:val="clear"/>
          </w:tcPr>
          <w:p>
            <w:pPr>
              <w:pStyle w:val="TableContents"/>
              <w:spacing w:before="0" w:after="283"/>
              <w:rPr>
                <w:sz w:val="4"/>
                <w:szCs w:val="4"/>
              </w:rPr>
            </w:pPr>
            <w:r>
              <w:rPr>
                <w:sz w:val="4"/>
                <w:szCs w:val="4"/>
              </w:rPr>
            </w:r>
          </w:p>
        </w:tc>
        <w:tc>
          <w:tcPr>
            <w:tcW w:w="128" w:type="dxa"/>
            <w:tcBorders/>
            <w:shd w:fill="CCEEFF" w:val="clear"/>
          </w:tcPr>
          <w:p>
            <w:pPr>
              <w:pStyle w:val="TableContents"/>
              <w:spacing w:before="0" w:after="283"/>
              <w:rPr>
                <w:sz w:val="4"/>
                <w:szCs w:val="4"/>
              </w:rPr>
            </w:pPr>
            <w:r>
              <w:rPr>
                <w:sz w:val="4"/>
                <w:szCs w:val="4"/>
              </w:rPr>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2210" w:type="dxa"/>
            <w:gridSpan w:val="5"/>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Accrued compensation and employee benefits</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8" w:type="dxa"/>
            <w:tcBorders/>
            <w:shd w:fill="auto" w:val="clear"/>
            <w:vAlign w:val="bottom"/>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expenses and other liabilities</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rent, current portion</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754</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1,190</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rent, net of current portion</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770</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1,385</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2210" w:type="dxa"/>
            <w:gridSpan w:val="5"/>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201" w:type="dxa"/>
            <w:tcBorders/>
            <w:shd w:fill="CCEEFF" w:val="clear"/>
          </w:tcPr>
          <w:p>
            <w:pPr>
              <w:pStyle w:val="TableContents"/>
              <w:spacing w:before="0" w:after="283"/>
              <w:rPr>
                <w:rFonts w:ascii="Times New Roman" w:hAnsi="Times New Roman"/>
                <w:b/>
                <w:sz w:val="20"/>
              </w:rPr>
            </w:pPr>
            <w:r>
              <w:rPr>
                <w:rFonts w:ascii="Times New Roman" w:hAnsi="Times New Roman"/>
                <w:b/>
                <w:sz w:val="20"/>
              </w:rPr>
              <w:t>Stockholders equity:</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sz w:val="4"/>
                <w:szCs w:val="4"/>
              </w:rPr>
            </w:pPr>
            <w:r>
              <w:rPr>
                <w:sz w:val="4"/>
                <w:szCs w:val="4"/>
              </w:rPr>
            </w:r>
          </w:p>
        </w:tc>
        <w:tc>
          <w:tcPr>
            <w:tcW w:w="2210" w:type="dxa"/>
            <w:gridSpan w:val="5"/>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$0.001 par value; 100 million shares authorized at December 31, 2011 and December 31, 2010; 12,182,999 and 8,834,535 shares issued and outstanding at December 31, 2011 and December 31, 2010, respectively</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8" w:type="dxa"/>
            <w:tcBorders/>
            <w:shd w:fill="auto" w:val="clear"/>
            <w:vAlign w:val="bottom"/>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69,394</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65,072</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sz w:val="20"/>
              </w:rPr>
            </w:pPr>
            <w:r>
              <w:rPr>
                <w:rFonts w:ascii="Times New Roman" w:hAnsi="Times New Roman"/>
                <w:sz w:val="20"/>
              </w:rPr>
              <w:t>Deficit accumulated during the development stage</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(58,310</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stockholders equity</w:t>
            </w:r>
          </w:p>
        </w:tc>
        <w:tc>
          <w:tcPr>
            <w:tcW w:w="528"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5,732</w:t>
            </w:r>
          </w:p>
        </w:tc>
        <w:tc>
          <w:tcPr>
            <w:tcW w:w="12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6,771</w:t>
            </w:r>
          </w:p>
        </w:tc>
        <w:tc>
          <w:tcPr>
            <w:tcW w:w="128" w:type="dxa"/>
            <w:tcBorders/>
            <w:shd w:fill="CCEEFF"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0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stockholders equity</w:t>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6,502</w:t>
            </w:r>
          </w:p>
        </w:tc>
        <w:tc>
          <w:tcPr>
            <w:tcW w:w="12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8,156</w:t>
            </w:r>
          </w:p>
        </w:tc>
        <w:tc>
          <w:tcPr>
            <w:tcW w:w="128" w:type="dxa"/>
            <w:tcBorders/>
            <w:shd w:fill="auto" w:val="clear"/>
            <w:vAlign w:val="bottom"/>
          </w:tcPr>
          <w:p>
            <w:pPr>
              <w:pStyle w:val="TableContents"/>
              <w:spacing w:before="0" w:after="283"/>
              <w:rPr/>
            </w:pPr>
            <w:r>
              <w:rPr/>
              <w:t>  </w:t>
            </w:r>
          </w:p>
        </w:tc>
      </w:tr>
      <w:tr>
        <w:trPr/>
        <w:tc>
          <w:tcPr>
            <w:tcW w:w="7201"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90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280818_14"/>
      <w:bookmarkEnd w:id="16"/>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484"/>
        <w:gridCol w:w="506"/>
        <w:gridCol w:w="125"/>
        <w:gridCol w:w="958"/>
        <w:gridCol w:w="125"/>
        <w:gridCol w:w="464"/>
        <w:gridCol w:w="125"/>
        <w:gridCol w:w="883"/>
        <w:gridCol w:w="125"/>
        <w:gridCol w:w="464"/>
        <w:gridCol w:w="128"/>
        <w:gridCol w:w="689"/>
        <w:gridCol w:w="129"/>
      </w:tblGrid>
      <w:tr>
        <w:trPr/>
        <w:tc>
          <w:tcPr>
            <w:tcW w:w="548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484"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68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1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Period from</w:t>
              <w:br/>
              <w:t>December 17,</w:t>
              <w:br/>
              <w:t>2001 (date of</w:t>
              <w:br/>
              <w:t>inception) to</w:t>
              <w:br/>
              <w:t>December 31,</w:t>
            </w:r>
            <w:r>
              <w:rPr/>
              <w:br/>
            </w:r>
            <w:r>
              <w:rPr>
                <w:rFonts w:ascii="Times New Roman" w:hAnsi="Times New Roman"/>
                <w:b/>
                <w:sz w:val="14"/>
              </w:rPr>
              <w:t>2011</w:t>
            </w:r>
          </w:p>
        </w:tc>
        <w:tc>
          <w:tcPr>
            <w:tcW w:w="129" w:type="dxa"/>
            <w:vMerge w:val="restart"/>
            <w:tcBorders/>
            <w:shd w:fill="auto" w:val="clear"/>
            <w:vAlign w:val="bottom"/>
          </w:tcPr>
          <w:p>
            <w:pPr>
              <w:pStyle w:val="TableContents"/>
              <w:spacing w:before="0" w:after="283"/>
              <w:rPr/>
            </w:pPr>
            <w:r>
              <w:rPr/>
              <w:t> </w:t>
            </w:r>
          </w:p>
        </w:tc>
      </w:tr>
      <w:tr>
        <w:trPr/>
        <w:tc>
          <w:tcPr>
            <w:tcW w:w="5484"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0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17" w:type="dxa"/>
            <w:gridSpan w:val="2"/>
            <w:vMerge w:val="continue"/>
            <w:tcBorders>
              <w:bottom w:val="single" w:sz="2" w:space="0" w:color="000000"/>
            </w:tcBorders>
            <w:shd w:fill="auto" w:val="clear"/>
            <w:tcMar>
              <w:bottom w:w="28" w:type="dxa"/>
            </w:tcMar>
            <w:vAlign w:val="bottom"/>
          </w:tcPr>
          <w:p>
            <w:pPr>
              <w:pStyle w:val="Normal"/>
              <w:rPr/>
            </w:pPr>
            <w:r>
              <w:rPr/>
            </w:r>
          </w:p>
        </w:tc>
        <w:tc>
          <w:tcPr>
            <w:tcW w:w="129" w:type="dxa"/>
            <w:vMerge w:val="continue"/>
            <w:tcBorders/>
            <w:shd w:fill="auto" w:val="clear"/>
            <w:vAlign w:val="bottom"/>
          </w:tcPr>
          <w:p>
            <w:pPr>
              <w:pStyle w:val="Normal"/>
              <w:rPr/>
            </w:pPr>
            <w:r>
              <w:rPr/>
            </w:r>
          </w:p>
        </w:tc>
      </w:tr>
      <w:tr>
        <w:trPr/>
        <w:tc>
          <w:tcPr>
            <w:tcW w:w="5484"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4086"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share and</w:t>
              <w:br/>
              <w:t>per share amounts)</w:t>
            </w:r>
          </w:p>
        </w:tc>
        <w:tc>
          <w:tcPr>
            <w:tcW w:w="129" w:type="dxa"/>
            <w:tcBorders/>
            <w:shd w:fill="auto" w:val="clear"/>
            <w:vAlign w:val="bottom"/>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8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sz w:val="4"/>
                <w:szCs w:val="4"/>
              </w:rPr>
            </w:pPr>
            <w:r>
              <w:rPr>
                <w:sz w:val="4"/>
                <w:szCs w:val="4"/>
              </w:rPr>
            </w:r>
          </w:p>
        </w:tc>
        <w:tc>
          <w:tcPr>
            <w:tcW w:w="689"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Research and development</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2,315</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3,106</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41,585</w:t>
            </w:r>
          </w:p>
        </w:tc>
        <w:tc>
          <w:tcPr>
            <w:tcW w:w="129" w:type="dxa"/>
            <w:tcBorders/>
            <w:shd w:fill="auto" w:val="clear"/>
            <w:vAlign w:val="bottom"/>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5,046</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6,069</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39,356</w:t>
            </w:r>
          </w:p>
        </w:tc>
        <w:tc>
          <w:tcPr>
            <w:tcW w:w="129" w:type="dxa"/>
            <w:tcBorders/>
            <w:shd w:fill="CCEEFF" w:val="clear"/>
            <w:vAlign w:val="bottom"/>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Merger transaction costs</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5,470</w:t>
            </w:r>
          </w:p>
        </w:tc>
        <w:tc>
          <w:tcPr>
            <w:tcW w:w="129" w:type="dxa"/>
            <w:tcBorders/>
            <w:shd w:fill="auto" w:val="clear"/>
            <w:vAlign w:val="bottom"/>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Restructuring expense, net</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2,413</w:t>
            </w:r>
          </w:p>
        </w:tc>
        <w:tc>
          <w:tcPr>
            <w:tcW w:w="129" w:type="dxa"/>
            <w:tcBorders/>
            <w:shd w:fill="CCEEFF" w:val="clear"/>
            <w:vAlign w:val="bottom"/>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Loss on impairment of in-process research and development</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9" w:type="dxa"/>
            <w:tcBorders/>
            <w:shd w:fill="auto" w:val="clear"/>
            <w:vAlign w:val="bottom"/>
          </w:tcPr>
          <w:p>
            <w:pPr>
              <w:pStyle w:val="TableContents"/>
              <w:spacing w:before="0" w:after="283"/>
              <w:rPr/>
            </w:pPr>
            <w:r>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68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costs and expenses</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7,361</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9,175</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94,824</w:t>
            </w:r>
          </w:p>
        </w:tc>
        <w:tc>
          <w:tcPr>
            <w:tcW w:w="129" w:type="dxa"/>
            <w:tcBorders/>
            <w:shd w:fill="CCEEFF" w:val="clear"/>
            <w:vAlign w:val="bottom"/>
          </w:tcPr>
          <w:p>
            <w:pPr>
              <w:pStyle w:val="TableContents"/>
              <w:spacing w:before="0" w:after="283"/>
              <w:rPr/>
            </w:pPr>
            <w:r>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68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Loss from operations</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(94,824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68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assignment of patent rights</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29" w:type="dxa"/>
            <w:tcBorders/>
            <w:shd w:fill="CCEEFF" w:val="clear"/>
            <w:vAlign w:val="bottom"/>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Gain on bargain purchase</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25,282</w:t>
            </w:r>
          </w:p>
        </w:tc>
        <w:tc>
          <w:tcPr>
            <w:tcW w:w="129" w:type="dxa"/>
            <w:tcBorders/>
            <w:shd w:fill="auto" w:val="clear"/>
            <w:vAlign w:val="bottom"/>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and other income</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2,026</w:t>
            </w:r>
          </w:p>
        </w:tc>
        <w:tc>
          <w:tcPr>
            <w:tcW w:w="129" w:type="dxa"/>
            <w:tcBorders/>
            <w:shd w:fill="CCEEFF" w:val="clear"/>
            <w:vAlign w:val="bottom"/>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and other expense</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68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Loss before income taxes</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(65,955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Benefit from income taxes</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2,281</w:t>
            </w:r>
          </w:p>
        </w:tc>
        <w:tc>
          <w:tcPr>
            <w:tcW w:w="129" w:type="dxa"/>
            <w:tcBorders/>
            <w:shd w:fill="auto" w:val="clear"/>
            <w:vAlign w:val="bottom"/>
          </w:tcPr>
          <w:p>
            <w:pPr>
              <w:pStyle w:val="TableContents"/>
              <w:spacing w:before="0" w:after="283"/>
              <w:rPr/>
            </w:pPr>
            <w:r>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68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(63,674</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8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double" w:sz="6" w:space="1" w:color="000000"/>
              </w:pBdr>
              <w:spacing w:before="0" w:after="283"/>
              <w:rPr/>
            </w:pPr>
            <w:r>
              <w:rPr/>
              <w:t> </w:t>
            </w:r>
          </w:p>
        </w:tc>
        <w:tc>
          <w:tcPr>
            <w:tcW w:w="689"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Less: Accretion of redeemable convertible preferred stock</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Less: Deemed preferred stock dividend for additional common shares issuable under anti-dilution provisions</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9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283"/>
              <w:rPr/>
            </w:pPr>
            <w:r>
              <w:rPr/>
              <w:t> </w:t>
            </w:r>
          </w:p>
        </w:tc>
        <w:tc>
          <w:tcPr>
            <w:tcW w:w="68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Net loss available to common stockholders</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(64,700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84"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95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8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double" w:sz="6" w:space="1" w:color="000000"/>
              </w:pBdr>
              <w:spacing w:before="0" w:after="283"/>
              <w:rPr/>
            </w:pPr>
            <w:r>
              <w:rPr/>
              <w:t> </w:t>
            </w:r>
          </w:p>
        </w:tc>
        <w:tc>
          <w:tcPr>
            <w:tcW w:w="689"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available to common stockholders per share:</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8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sz w:val="4"/>
                <w:szCs w:val="4"/>
              </w:rPr>
            </w:pPr>
            <w:r>
              <w:rPr>
                <w:sz w:val="4"/>
                <w:szCs w:val="4"/>
              </w:rPr>
            </w:r>
          </w:p>
        </w:tc>
        <w:tc>
          <w:tcPr>
            <w:tcW w:w="689"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sz w:val="4"/>
                <w:szCs w:val="4"/>
              </w:rPr>
            </w:pPr>
            <w:r>
              <w:rPr>
                <w:sz w:val="4"/>
                <w:szCs w:val="4"/>
              </w:rPr>
            </w:r>
          </w:p>
        </w:tc>
        <w:tc>
          <w:tcPr>
            <w:tcW w:w="68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5484"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5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8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sz w:val="4"/>
                <w:szCs w:val="4"/>
              </w:rPr>
            </w:pPr>
            <w:r>
              <w:rPr>
                <w:sz w:val="4"/>
                <w:szCs w:val="4"/>
              </w:rPr>
            </w:r>
          </w:p>
        </w:tc>
        <w:tc>
          <w:tcPr>
            <w:tcW w:w="689"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484"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10,038,243</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8,506,320</w:t>
            </w:r>
          </w:p>
        </w:tc>
        <w:tc>
          <w:tcPr>
            <w:tcW w:w="12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sz w:val="4"/>
                <w:szCs w:val="4"/>
              </w:rPr>
            </w:pPr>
            <w:r>
              <w:rPr>
                <w:sz w:val="4"/>
                <w:szCs w:val="4"/>
              </w:rPr>
            </w:r>
          </w:p>
        </w:tc>
        <w:tc>
          <w:tcPr>
            <w:tcW w:w="68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90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280818_15"/>
      <w:bookmarkEnd w:id="17"/>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PREFERRED STOCK AND STOCKHOLDERS EQUITY (DEFICIT)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86"/>
        <w:gridCol w:w="88"/>
        <w:gridCol w:w="60"/>
        <w:gridCol w:w="624"/>
        <w:gridCol w:w="120"/>
        <w:gridCol w:w="88"/>
        <w:gridCol w:w="95"/>
        <w:gridCol w:w="425"/>
        <w:gridCol w:w="120"/>
        <w:gridCol w:w="88"/>
        <w:gridCol w:w="60"/>
        <w:gridCol w:w="624"/>
        <w:gridCol w:w="120"/>
        <w:gridCol w:w="88"/>
        <w:gridCol w:w="103"/>
        <w:gridCol w:w="385"/>
        <w:gridCol w:w="120"/>
        <w:gridCol w:w="88"/>
        <w:gridCol w:w="59"/>
        <w:gridCol w:w="527"/>
        <w:gridCol w:w="120"/>
        <w:gridCol w:w="88"/>
        <w:gridCol w:w="164"/>
        <w:gridCol w:w="329"/>
        <w:gridCol w:w="120"/>
        <w:gridCol w:w="88"/>
        <w:gridCol w:w="141"/>
        <w:gridCol w:w="549"/>
        <w:gridCol w:w="120"/>
        <w:gridCol w:w="88"/>
        <w:gridCol w:w="152"/>
        <w:gridCol w:w="650"/>
        <w:gridCol w:w="120"/>
        <w:gridCol w:w="88"/>
        <w:gridCol w:w="95"/>
        <w:gridCol w:w="396"/>
        <w:gridCol w:w="129"/>
      </w:tblGrid>
      <w:tr>
        <w:trPr/>
        <w:tc>
          <w:tcPr>
            <w:tcW w:w="2886"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3000"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Preferred Stock</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3894"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Stockholders Equity (Deficit)</w:t>
            </w:r>
          </w:p>
        </w:tc>
        <w:tc>
          <w:tcPr>
            <w:tcW w:w="129" w:type="dxa"/>
            <w:tcBorders/>
            <w:shd w:fill="auto" w:val="clear"/>
            <w:vAlign w:val="bottom"/>
          </w:tcPr>
          <w:p>
            <w:pPr>
              <w:pStyle w:val="TableContents"/>
              <w:spacing w:before="0" w:after="283"/>
              <w:rPr/>
            </w:pPr>
            <w:r>
              <w:rPr/>
              <w:t> </w:t>
            </w:r>
          </w:p>
        </w:tc>
      </w:tr>
      <w:tr>
        <w:trPr/>
        <w:tc>
          <w:tcPr>
            <w:tcW w:w="2886"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2"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Series A</w:t>
            </w:r>
            <w:r>
              <w:rPr/>
              <w:br/>
            </w:r>
            <w:r>
              <w:rPr>
                <w:rFonts w:ascii="Times New Roman" w:hAnsi="Times New Roman"/>
                <w:b/>
                <w:sz w:val="14"/>
              </w:rPr>
              <w:t>Redeemable</w:t>
            </w:r>
            <w:r>
              <w:rPr/>
              <w:br/>
            </w:r>
            <w:r>
              <w:rPr>
                <w:rFonts w:ascii="Times New Roman" w:hAnsi="Times New Roman"/>
                <w:b/>
                <w:sz w:val="14"/>
              </w:rPr>
              <w:t>Convertible</w:t>
            </w:r>
            <w:r>
              <w:rPr/>
              <w:br/>
            </w:r>
            <w:r>
              <w:rPr>
                <w:rFonts w:ascii="Times New Roman" w:hAnsi="Times New Roman"/>
                <w:b/>
                <w:sz w:val="14"/>
              </w:rPr>
              <w:t>Preferred Stock</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380"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Series B</w:t>
            </w:r>
            <w:r>
              <w:rPr/>
              <w:br/>
            </w:r>
            <w:r>
              <w:rPr>
                <w:rFonts w:ascii="Times New Roman" w:hAnsi="Times New Roman"/>
                <w:b/>
                <w:sz w:val="14"/>
              </w:rPr>
              <w:t>Redeemable</w:t>
            </w:r>
            <w:r>
              <w:rPr/>
              <w:br/>
            </w:r>
            <w:r>
              <w:rPr>
                <w:rFonts w:ascii="Times New Roman" w:hAnsi="Times New Roman"/>
                <w:b/>
                <w:sz w:val="14"/>
              </w:rPr>
              <w:t>Convertible</w:t>
              <w:br/>
              <w:t>Preferred Stock</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8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 stock</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90"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Additional</w:t>
              <w:br/>
              <w:t>Paid In</w:t>
            </w:r>
            <w:r>
              <w:rPr/>
              <w:br/>
            </w:r>
            <w:r>
              <w:rPr>
                <w:rFonts w:ascii="Times New Roman" w:hAnsi="Times New Roman"/>
                <w:b/>
                <w:sz w:val="14"/>
              </w:rPr>
              <w:t>Capital</w:t>
            </w:r>
          </w:p>
        </w:tc>
        <w:tc>
          <w:tcPr>
            <w:tcW w:w="120" w:type="dxa"/>
            <w:vMerge w:val="restart"/>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802"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Deficit</w:t>
              <w:br/>
              <w:t>Accumulated</w:t>
              <w:br/>
              <w:t>During the</w:t>
              <w:br/>
              <w:t>Development</w:t>
              <w:br/>
              <w:t>Stage</w:t>
            </w:r>
          </w:p>
        </w:tc>
        <w:tc>
          <w:tcPr>
            <w:tcW w:w="120" w:type="dxa"/>
            <w:vMerge w:val="restart"/>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49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9" w:type="dxa"/>
            <w:vMerge w:val="restart"/>
            <w:tcBorders/>
            <w:shd w:fill="auto" w:val="clear"/>
            <w:vAlign w:val="bottom"/>
          </w:tcPr>
          <w:p>
            <w:pPr>
              <w:pStyle w:val="TableContents"/>
              <w:spacing w:before="0" w:after="283"/>
              <w:rPr/>
            </w:pPr>
            <w:r>
              <w:rPr/>
              <w:t> </w:t>
            </w:r>
          </w:p>
        </w:tc>
      </w:tr>
      <w:tr>
        <w:trPr/>
        <w:tc>
          <w:tcPr>
            <w:tcW w:w="2886"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4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49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90"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88" w:type="dxa"/>
            <w:tcBorders/>
            <w:shd w:fill="auto" w:val="clear"/>
            <w:vAlign w:val="bottom"/>
          </w:tcPr>
          <w:p>
            <w:pPr>
              <w:pStyle w:val="TableContents"/>
              <w:spacing w:before="0" w:after="283"/>
              <w:rPr/>
            </w:pPr>
            <w:r>
              <w:rPr/>
              <w:t> </w:t>
            </w:r>
          </w:p>
        </w:tc>
        <w:tc>
          <w:tcPr>
            <w:tcW w:w="802"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88" w:type="dxa"/>
            <w:tcBorders/>
            <w:shd w:fill="auto" w:val="clear"/>
            <w:vAlign w:val="bottom"/>
          </w:tcPr>
          <w:p>
            <w:pPr>
              <w:pStyle w:val="TableContents"/>
              <w:spacing w:before="0" w:after="283"/>
              <w:rPr/>
            </w:pPr>
            <w:r>
              <w:rPr/>
              <w:t> </w:t>
            </w:r>
          </w:p>
        </w:tc>
        <w:tc>
          <w:tcPr>
            <w:tcW w:w="491" w:type="dxa"/>
            <w:gridSpan w:val="2"/>
            <w:vMerge w:val="continue"/>
            <w:tcBorders>
              <w:bottom w:val="single" w:sz="2" w:space="0" w:color="000000"/>
            </w:tcBorders>
            <w:shd w:fill="auto" w:val="clear"/>
            <w:tcMar>
              <w:bottom w:w="28" w:type="dxa"/>
            </w:tcMar>
            <w:vAlign w:val="bottom"/>
          </w:tcPr>
          <w:p>
            <w:pPr>
              <w:pStyle w:val="Normal"/>
              <w:rPr/>
            </w:pPr>
            <w:r>
              <w:rPr/>
            </w:r>
          </w:p>
        </w:tc>
        <w:tc>
          <w:tcPr>
            <w:tcW w:w="129" w:type="dxa"/>
            <w:vMerge w:val="continue"/>
            <w:tcBorders/>
            <w:shd w:fill="auto" w:val="clear"/>
            <w:vAlign w:val="bottom"/>
          </w:tcPr>
          <w:p>
            <w:pPr>
              <w:pStyle w:val="Normal"/>
              <w:rPr/>
            </w:pPr>
            <w:r>
              <w:rPr/>
            </w:r>
          </w:p>
        </w:tc>
      </w:tr>
      <w:tr>
        <w:trPr/>
        <w:tc>
          <w:tcPr>
            <w:tcW w:w="2886"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102" w:type="dxa"/>
            <w:gridSpan w:val="3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share and per share amounts)</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December 17, 2001 (date of inception)</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to founders on December 31, 2002, for cash, at $0.06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15,529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Net loss</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283"/>
              <w:rPr/>
            </w:pPr>
            <w:r>
              <w:rPr/>
              <w:t> </w:t>
            </w:r>
          </w:p>
        </w:tc>
        <w:tc>
          <w:tcPr>
            <w:tcW w:w="3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283"/>
              <w:rPr/>
            </w:pPr>
            <w:r>
              <w:rPr/>
              <w:t> </w:t>
            </w:r>
          </w:p>
        </w:tc>
        <w:tc>
          <w:tcPr>
            <w:tcW w:w="5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396"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b/>
                <w:sz w:val="14"/>
              </w:rPr>
            </w:pPr>
            <w:r>
              <w:rPr>
                <w:rFonts w:ascii="Times New Roman" w:hAnsi="Times New Roman"/>
                <w:b/>
                <w:sz w:val="14"/>
              </w:rPr>
              <w:t>Balance, December 31, 2003</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15,529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(115</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on September 30, 2004, for cash, at $0.06 per share</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118,319</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Net loss</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(511</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283"/>
              <w:rPr/>
            </w:pPr>
            <w:r>
              <w:rPr/>
              <w:t> </w:t>
            </w:r>
          </w:p>
        </w:tc>
        <w:tc>
          <w:tcPr>
            <w:tcW w:w="3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283"/>
              <w:rPr/>
            </w:pPr>
            <w:r>
              <w:rPr/>
              <w:t> </w:t>
            </w:r>
          </w:p>
        </w:tc>
        <w:tc>
          <w:tcPr>
            <w:tcW w:w="5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396"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December 31, 2004</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133,848</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(619</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on January 3, 2005, for cash, at $0.06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17,533</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on January 3, 2005, upon conversion of notes payable and related accrued interest at $0.06 per share</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17,867</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on October 14, 2005, for intellectual property license rights, at $8.14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5,419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on October 14, 2005, upon conversion of notes payable and related accrued interest</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186,571</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1,354</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1,354</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Net loss</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(1,459</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283"/>
              <w:rPr/>
            </w:pPr>
            <w:r>
              <w:rPr/>
              <w:t> </w:t>
            </w:r>
          </w:p>
        </w:tc>
        <w:tc>
          <w:tcPr>
            <w:tcW w:w="3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283"/>
              <w:rPr/>
            </w:pPr>
            <w:r>
              <w:rPr/>
              <w:t> </w:t>
            </w:r>
          </w:p>
        </w:tc>
        <w:tc>
          <w:tcPr>
            <w:tcW w:w="5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396"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December 31, 2005</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361,238</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1,408</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(2,086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(678</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on February 21, 2006, for intellectual property license rights, at $0.72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104,229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Series A on February 22, 2006, for cash, at $1.6265 per share</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5,727,354</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9,316</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Series A on February 22, 2006, upon conversion of notes payable and related accrued interest, at $1.6265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420,817</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684</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upon exercise of stock options, for cash</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48,111</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on February 22, 2006, for intellectual property and product license rights, at $0.72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83,443</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on June 23, 2006, for intellectual property license rights, at $0.90 per share</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15,028</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on November 7, 2006, for intellectual property license rights, at $0.90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Series A on December 8, 2006, for cash, at $1.6265 per share</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3,074,086</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Series A offering costs</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Accretion of offering costs of redeemable convertible preferred stock</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Net loss</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(5,241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(5,241</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2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283"/>
              <w:rPr/>
            </w:pPr>
            <w:r>
              <w:rPr/>
              <w:t> </w:t>
            </w:r>
          </w:p>
        </w:tc>
        <w:tc>
          <w:tcPr>
            <w:tcW w:w="3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283"/>
              <w:rPr/>
            </w:pPr>
            <w:r>
              <w:rPr/>
              <w:t> </w:t>
            </w:r>
          </w:p>
        </w:tc>
        <w:tc>
          <w:tcPr>
            <w:tcW w:w="5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396"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b/>
                <w:sz w:val="14"/>
              </w:rPr>
            </w:pPr>
            <w:r>
              <w:rPr>
                <w:rFonts w:ascii="Times New Roman" w:hAnsi="Times New Roman"/>
                <w:b/>
                <w:sz w:val="14"/>
              </w:rPr>
              <w:t>Balance, December 31, 2006</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9,222,257</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14,919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612,278</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1,582</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(7,327</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(5,744</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Series B convertible redeemable preferred stock, on May 31, 2007 for $2.439 per share</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3,688,902</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9,000</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Series B convertible redeemable preferred stock, on December 28, 2007 for $3.253 per share</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2,766,677</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9,000</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Series B offering Costs</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CCEEFF" w:val="clear"/>
            <w:vAlign w:val="bottom"/>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14"/>
              </w:rPr>
            </w:pPr>
            <w:r>
              <w:rPr>
                <w:rFonts w:ascii="Times New Roman" w:hAnsi="Times New Roman"/>
                <w:sz w:val="14"/>
              </w:rPr>
              <w:t>Accretion of Series A offering costs</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86" w:type="dxa"/>
            <w:tcBorders/>
            <w:shd w:fill="CCEEFF" w:val="clear"/>
          </w:tcPr>
          <w:p>
            <w:pPr>
              <w:pStyle w:val="TableContents"/>
              <w:spacing w:before="0" w:after="283"/>
              <w:rPr>
                <w:rFonts w:ascii="Times New Roman" w:hAnsi="Times New Roman"/>
                <w:sz w:val="14"/>
              </w:rPr>
            </w:pPr>
            <w:r>
              <w:rPr>
                <w:rFonts w:ascii="Times New Roman" w:hAnsi="Times New Roman"/>
                <w:sz w:val="14"/>
              </w:rPr>
              <w:t>Accretion of Series B offering costs</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PREFERRED STOCK AND STOCKHOLDERS EQUITY (DEFICIT)(Continued)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62"/>
        <w:gridCol w:w="84"/>
        <w:gridCol w:w="60"/>
        <w:gridCol w:w="652"/>
        <w:gridCol w:w="120"/>
        <w:gridCol w:w="84"/>
        <w:gridCol w:w="95"/>
        <w:gridCol w:w="488"/>
        <w:gridCol w:w="120"/>
        <w:gridCol w:w="84"/>
        <w:gridCol w:w="60"/>
        <w:gridCol w:w="652"/>
        <w:gridCol w:w="120"/>
        <w:gridCol w:w="84"/>
        <w:gridCol w:w="95"/>
        <w:gridCol w:w="488"/>
        <w:gridCol w:w="119"/>
        <w:gridCol w:w="84"/>
        <w:gridCol w:w="60"/>
        <w:gridCol w:w="611"/>
        <w:gridCol w:w="120"/>
        <w:gridCol w:w="84"/>
        <w:gridCol w:w="164"/>
        <w:gridCol w:w="322"/>
        <w:gridCol w:w="120"/>
        <w:gridCol w:w="84"/>
        <w:gridCol w:w="121"/>
        <w:gridCol w:w="556"/>
        <w:gridCol w:w="119"/>
        <w:gridCol w:w="84"/>
        <w:gridCol w:w="131"/>
        <w:gridCol w:w="656"/>
        <w:gridCol w:w="120"/>
        <w:gridCol w:w="84"/>
        <w:gridCol w:w="95"/>
        <w:gridCol w:w="488"/>
        <w:gridCol w:w="135"/>
      </w:tblGrid>
      <w:tr>
        <w:trPr/>
        <w:tc>
          <w:tcPr>
            <w:tcW w:w="2562"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25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202"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Preferred Stock</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4019"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Stockholders Equity (Deficit)</w:t>
            </w:r>
          </w:p>
        </w:tc>
        <w:tc>
          <w:tcPr>
            <w:tcW w:w="135" w:type="dxa"/>
            <w:tcBorders/>
            <w:shd w:fill="auto" w:val="clear"/>
            <w:vAlign w:val="bottom"/>
          </w:tcPr>
          <w:p>
            <w:pPr>
              <w:pStyle w:val="TableContents"/>
              <w:spacing w:before="0" w:after="283"/>
              <w:rPr/>
            </w:pPr>
            <w:r>
              <w:rPr/>
              <w:t> </w:t>
            </w:r>
          </w:p>
        </w:tc>
      </w:tr>
      <w:tr>
        <w:trPr/>
        <w:tc>
          <w:tcPr>
            <w:tcW w:w="25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99"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Series A</w:t>
            </w:r>
            <w:r>
              <w:rPr/>
              <w:br/>
            </w:r>
            <w:r>
              <w:rPr>
                <w:rFonts w:ascii="Times New Roman" w:hAnsi="Times New Roman"/>
                <w:b/>
                <w:sz w:val="14"/>
              </w:rPr>
              <w:t>Redeemable</w:t>
            </w:r>
            <w:r>
              <w:rPr/>
              <w:br/>
            </w:r>
            <w:r>
              <w:rPr>
                <w:rFonts w:ascii="Times New Roman" w:hAnsi="Times New Roman"/>
                <w:b/>
                <w:sz w:val="14"/>
              </w:rPr>
              <w:t>Convertible</w:t>
            </w:r>
            <w:r>
              <w:rPr/>
              <w:br/>
            </w:r>
            <w:r>
              <w:rPr>
                <w:rFonts w:ascii="Times New Roman" w:hAnsi="Times New Roman"/>
                <w:b/>
                <w:sz w:val="14"/>
              </w:rPr>
              <w:t>Preferred Stock</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99"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Series B</w:t>
            </w:r>
            <w:r>
              <w:rPr/>
              <w:br/>
            </w:r>
            <w:r>
              <w:rPr>
                <w:rFonts w:ascii="Times New Roman" w:hAnsi="Times New Roman"/>
                <w:b/>
                <w:sz w:val="14"/>
              </w:rPr>
              <w:t>Redeemable</w:t>
            </w:r>
            <w:r>
              <w:rPr/>
              <w:br/>
            </w:r>
            <w:r>
              <w:rPr>
                <w:rFonts w:ascii="Times New Roman" w:hAnsi="Times New Roman"/>
                <w:b/>
                <w:sz w:val="14"/>
              </w:rPr>
              <w:t>Convertible</w:t>
              <w:br/>
              <w:t>Preferred Stock</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6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 stock</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7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Additional</w:t>
              <w:br/>
              <w:t>Paid In</w:t>
            </w:r>
            <w:r>
              <w:rPr/>
              <w:br/>
            </w:r>
            <w:r>
              <w:rPr>
                <w:rFonts w:ascii="Times New Roman" w:hAnsi="Times New Roman"/>
                <w:b/>
                <w:sz w:val="14"/>
              </w:rPr>
              <w:t>Capital</w:t>
            </w:r>
          </w:p>
        </w:tc>
        <w:tc>
          <w:tcPr>
            <w:tcW w:w="119" w:type="dxa"/>
            <w:vMerge w:val="restart"/>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8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Deficit</w:t>
              <w:br/>
              <w:t>Accumulated</w:t>
              <w:br/>
              <w:t>During the</w:t>
              <w:br/>
              <w:t>Development</w:t>
              <w:br/>
              <w:t>Stage</w:t>
            </w:r>
          </w:p>
        </w:tc>
        <w:tc>
          <w:tcPr>
            <w:tcW w:w="120" w:type="dxa"/>
            <w:vMerge w:val="restart"/>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83"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5" w:type="dxa"/>
            <w:vMerge w:val="restart"/>
            <w:tcBorders/>
            <w:shd w:fill="auto" w:val="clear"/>
            <w:vAlign w:val="bottom"/>
          </w:tcPr>
          <w:p>
            <w:pPr>
              <w:pStyle w:val="TableContents"/>
              <w:spacing w:before="0" w:after="283"/>
              <w:rPr/>
            </w:pPr>
            <w:r>
              <w:rPr/>
              <w:t> </w:t>
            </w:r>
          </w:p>
        </w:tc>
      </w:tr>
      <w:tr>
        <w:trPr/>
        <w:tc>
          <w:tcPr>
            <w:tcW w:w="25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7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4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77" w:type="dxa"/>
            <w:gridSpan w:val="2"/>
            <w:vMerge w:val="continue"/>
            <w:tcBorders>
              <w:bottom w:val="single" w:sz="2" w:space="0" w:color="000000"/>
            </w:tcBorders>
            <w:shd w:fill="auto" w:val="clear"/>
            <w:tcMar>
              <w:bottom w:w="28" w:type="dxa"/>
            </w:tcMar>
            <w:vAlign w:val="bottom"/>
          </w:tcPr>
          <w:p>
            <w:pPr>
              <w:pStyle w:val="Normal"/>
              <w:rPr/>
            </w:pPr>
            <w:r>
              <w:rPr/>
            </w:r>
          </w:p>
        </w:tc>
        <w:tc>
          <w:tcPr>
            <w:tcW w:w="119" w:type="dxa"/>
            <w:vMerge w:val="continue"/>
            <w:tcBorders/>
            <w:shd w:fill="auto" w:val="clear"/>
            <w:vAlign w:val="bottom"/>
          </w:tcPr>
          <w:p>
            <w:pPr>
              <w:pStyle w:val="Normal"/>
              <w:rPr/>
            </w:pPr>
            <w:r>
              <w:rPr/>
            </w:r>
          </w:p>
        </w:tc>
        <w:tc>
          <w:tcPr>
            <w:tcW w:w="84" w:type="dxa"/>
            <w:tcBorders/>
            <w:shd w:fill="auto" w:val="clear"/>
            <w:vAlign w:val="bottom"/>
          </w:tcPr>
          <w:p>
            <w:pPr>
              <w:pStyle w:val="TableContents"/>
              <w:spacing w:before="0" w:after="283"/>
              <w:rPr/>
            </w:pPr>
            <w:r>
              <w:rPr/>
              <w:t> </w:t>
            </w:r>
          </w:p>
        </w:tc>
        <w:tc>
          <w:tcPr>
            <w:tcW w:w="787"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84" w:type="dxa"/>
            <w:tcBorders/>
            <w:shd w:fill="auto" w:val="clear"/>
            <w:vAlign w:val="bottom"/>
          </w:tcPr>
          <w:p>
            <w:pPr>
              <w:pStyle w:val="TableContents"/>
              <w:spacing w:before="0" w:after="283"/>
              <w:rPr/>
            </w:pPr>
            <w:r>
              <w:rPr/>
              <w:t> </w:t>
            </w:r>
          </w:p>
        </w:tc>
        <w:tc>
          <w:tcPr>
            <w:tcW w:w="583" w:type="dxa"/>
            <w:gridSpan w:val="2"/>
            <w:vMerge w:val="continue"/>
            <w:tcBorders>
              <w:bottom w:val="single" w:sz="2" w:space="0" w:color="000000"/>
            </w:tcBorders>
            <w:shd w:fill="auto" w:val="clear"/>
            <w:tcMar>
              <w:bottom w:w="28" w:type="dxa"/>
            </w:tcMar>
            <w:vAlign w:val="bottom"/>
          </w:tcPr>
          <w:p>
            <w:pPr>
              <w:pStyle w:val="Normal"/>
              <w:rPr/>
            </w:pPr>
            <w:r>
              <w:rPr/>
            </w:r>
          </w:p>
        </w:tc>
        <w:tc>
          <w:tcPr>
            <w:tcW w:w="135" w:type="dxa"/>
            <w:vMerge w:val="continue"/>
            <w:tcBorders/>
            <w:shd w:fill="auto" w:val="clear"/>
            <w:vAlign w:val="bottom"/>
          </w:tcPr>
          <w:p>
            <w:pPr>
              <w:pStyle w:val="Normal"/>
              <w:rPr/>
            </w:pPr>
            <w:r>
              <w:rPr/>
            </w:r>
          </w:p>
        </w:tc>
      </w:tr>
      <w:tr>
        <w:trPr/>
        <w:tc>
          <w:tcPr>
            <w:tcW w:w="25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424" w:type="dxa"/>
            <w:gridSpan w:val="3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share and per share amounts)</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for intellectual property license rights, on January 18, 2007 at $1.68 per share</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7,817</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for intellectual property license rights, on June 30, 2007 at $1.80 per share</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3,852</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for commercial license rights, on July 19, 2007, vests upon achievement of specified criteria</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16,698</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shares to executive on February 19, 2007, vesting upon achievement of specified criteria, subject to repurchase</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83,490</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upon exercise of stock options for cash</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13,359</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Net loss</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(13,994</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(13,994</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283"/>
              <w:rPr/>
            </w:pPr>
            <w:r>
              <w:rPr/>
              <w:t> </w:t>
            </w:r>
          </w:p>
        </w:tc>
        <w:tc>
          <w:tcPr>
            <w:tcW w:w="55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b/>
                <w:sz w:val="14"/>
              </w:rPr>
            </w:pPr>
            <w:r>
              <w:rPr>
                <w:rFonts w:ascii="Times New Roman" w:hAnsi="Times New Roman"/>
                <w:b/>
                <w:sz w:val="14"/>
              </w:rPr>
              <w:t>Balance, December 31, 2007</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9,222,257</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14,938</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6,455,579</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17,871</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737,494</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1,631</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(21,321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(19,689</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Accretion of Series A offering costs</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Accretion of Series B offering costs</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545</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545</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Estimated fair value of warrants issued in connection with convertible notes payable</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399</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399</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upon exercise of stock options, for cash</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216,926</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Net loss</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(19,431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(19,431</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283"/>
              <w:rPr/>
            </w:pPr>
            <w:r>
              <w:rPr/>
              <w:t> </w:t>
            </w:r>
          </w:p>
        </w:tc>
        <w:tc>
          <w:tcPr>
            <w:tcW w:w="55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December 31, 2008</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9,222,257</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14,958</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6,455,579</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17,907</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954,420</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2,573</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(40,752</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(38,178</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Adjustment for fractional shares on common conversion</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Deemed preferred stock dividend for additional common shares issuable under anti-dilution provision</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Accretion of Series A offering costs</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Accretion of Series B offering costs</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Conversion of preferred stock</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(9,222,257</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(15,000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(6,455,579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(18,781</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3,042,740</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33,778</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33,781</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Restricted stock release from restriction</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Conversion of convertible notes and related accrued interest</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872,792</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8,500</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8,501</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Conversion of warrants for preferred stock</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Merger with Nuvelo, Inc.</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2,686,957</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11,910</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11,913</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Adjustment for fractional shares</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(609</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845</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845</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upon exercise of stock options for cash</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63,123</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under employee stock purchase plan and upon vesting of restricted stock units</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1,064</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Estimated fair value of warrants issued in connection with lease termination</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377</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377</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Net loss</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(9,138</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(9,138</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283"/>
              <w:rPr/>
            </w:pPr>
            <w:r>
              <w:rPr/>
              <w:t> </w:t>
            </w:r>
          </w:p>
        </w:tc>
        <w:tc>
          <w:tcPr>
            <w:tcW w:w="55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December 31, 2009</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7,620,448</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57,294</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(49,890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7,412</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for cash, net of offering costs</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1,164,600</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7,181</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7,182</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upon exercise of stock options for cash</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49,487</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w:t>
            </w:r>
          </w:p>
        </w:tc>
        <w:tc>
          <w:tcPr>
            <w:tcW w:w="135" w:type="dxa"/>
            <w:tcBorders/>
            <w:shd w:fill="CCEEFF" w:val="clear"/>
            <w:vAlign w:val="bottom"/>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458</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458</w:t>
            </w:r>
          </w:p>
        </w:tc>
        <w:tc>
          <w:tcPr>
            <w:tcW w:w="135" w:type="dxa"/>
            <w:tcBorders/>
            <w:shd w:fill="auto" w:val="clear"/>
            <w:vAlign w:val="bottom"/>
          </w:tcPr>
          <w:p>
            <w:pPr>
              <w:pStyle w:val="TableContents"/>
              <w:spacing w:before="0" w:after="283"/>
              <w:rPr/>
            </w:pPr>
            <w:r>
              <w:rPr/>
              <w:t>  </w:t>
            </w:r>
          </w:p>
        </w:tc>
      </w:tr>
      <w:tr>
        <w:trPr/>
        <w:tc>
          <w:tcPr>
            <w:tcW w:w="2562" w:type="dxa"/>
            <w:tcBorders/>
            <w:shd w:fill="CCEEFF" w:val="clear"/>
          </w:tcPr>
          <w:p>
            <w:pPr>
              <w:pStyle w:val="TableContents"/>
              <w:spacing w:before="0" w:after="283"/>
              <w:rPr>
                <w:rFonts w:ascii="Times New Roman" w:hAnsi="Times New Roman"/>
                <w:sz w:val="14"/>
              </w:rPr>
            </w:pPr>
            <w:r>
              <w:rPr>
                <w:rFonts w:ascii="Times New Roman" w:hAnsi="Times New Roman"/>
                <w:sz w:val="14"/>
              </w:rPr>
              <w:t>Net loss</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(8,420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(8,420</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56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283"/>
              <w:rPr/>
            </w:pPr>
            <w:r>
              <w:rPr/>
              <w:t> </w:t>
            </w:r>
          </w:p>
        </w:tc>
        <w:tc>
          <w:tcPr>
            <w:tcW w:w="55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65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2562" w:type="dxa"/>
            <w:tcBorders/>
            <w:shd w:fill="auto" w:val="clear"/>
          </w:tcPr>
          <w:p>
            <w:pPr>
              <w:pStyle w:val="TableContents"/>
              <w:spacing w:before="0" w:after="283"/>
              <w:rPr>
                <w:rFonts w:ascii="Times New Roman" w:hAnsi="Times New Roman"/>
                <w:b/>
                <w:sz w:val="14"/>
              </w:rPr>
            </w:pPr>
            <w:r>
              <w:rPr>
                <w:rFonts w:ascii="Times New Roman" w:hAnsi="Times New Roman"/>
                <w:b/>
                <w:sz w:val="14"/>
              </w:rPr>
              <w:t>Balance, December 31, 2010</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8,834,535</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w:t>
            </w:r>
          </w:p>
        </w:tc>
        <w:tc>
          <w:tcPr>
            <w:tcW w:w="12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65,072</w:t>
            </w:r>
          </w:p>
        </w:tc>
        <w:tc>
          <w:tcPr>
            <w:tcW w:w="11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(58,310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6,771</w:t>
            </w:r>
          </w:p>
        </w:tc>
        <w:tc>
          <w:tcPr>
            <w:tcW w:w="135"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PREFERRED STOCK AND STOCKHOLDERS EQUITY (DEFICIT)(Continued)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74"/>
        <w:gridCol w:w="89"/>
        <w:gridCol w:w="103"/>
        <w:gridCol w:w="336"/>
        <w:gridCol w:w="159"/>
        <w:gridCol w:w="107"/>
        <w:gridCol w:w="162"/>
        <w:gridCol w:w="337"/>
        <w:gridCol w:w="120"/>
        <w:gridCol w:w="89"/>
        <w:gridCol w:w="103"/>
        <w:gridCol w:w="336"/>
        <w:gridCol w:w="159"/>
        <w:gridCol w:w="107"/>
        <w:gridCol w:w="162"/>
        <w:gridCol w:w="337"/>
        <w:gridCol w:w="120"/>
        <w:gridCol w:w="88"/>
        <w:gridCol w:w="60"/>
        <w:gridCol w:w="707"/>
        <w:gridCol w:w="120"/>
        <w:gridCol w:w="89"/>
        <w:gridCol w:w="164"/>
        <w:gridCol w:w="335"/>
        <w:gridCol w:w="120"/>
        <w:gridCol w:w="89"/>
        <w:gridCol w:w="121"/>
        <w:gridCol w:w="546"/>
        <w:gridCol w:w="120"/>
        <w:gridCol w:w="89"/>
        <w:gridCol w:w="131"/>
        <w:gridCol w:w="683"/>
        <w:gridCol w:w="119"/>
        <w:gridCol w:w="89"/>
        <w:gridCol w:w="95"/>
        <w:gridCol w:w="405"/>
        <w:gridCol w:w="135"/>
      </w:tblGrid>
      <w:tr>
        <w:trPr/>
        <w:tc>
          <w:tcPr>
            <w:tcW w:w="3074"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07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61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Preferred Stock</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408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Stockholders Equity (Deficit)</w:t>
            </w:r>
          </w:p>
        </w:tc>
        <w:tc>
          <w:tcPr>
            <w:tcW w:w="135" w:type="dxa"/>
            <w:tcBorders/>
            <w:shd w:fill="auto" w:val="clear"/>
            <w:vAlign w:val="bottom"/>
          </w:tcPr>
          <w:p>
            <w:pPr>
              <w:pStyle w:val="TableContents"/>
              <w:spacing w:before="0" w:after="283"/>
              <w:rPr/>
            </w:pPr>
            <w:r>
              <w:rPr/>
              <w:t> </w:t>
            </w:r>
          </w:p>
        </w:tc>
      </w:tr>
      <w:tr>
        <w:trPr/>
        <w:tc>
          <w:tcPr>
            <w:tcW w:w="307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04"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Series A</w:t>
            </w:r>
            <w:r>
              <w:rPr/>
              <w:br/>
            </w:r>
            <w:r>
              <w:rPr>
                <w:rFonts w:ascii="Times New Roman" w:hAnsi="Times New Roman"/>
                <w:b/>
                <w:sz w:val="14"/>
              </w:rPr>
              <w:t>Redeemable</w:t>
            </w:r>
            <w:r>
              <w:rPr/>
              <w:br/>
            </w:r>
            <w:r>
              <w:rPr>
                <w:rFonts w:ascii="Times New Roman" w:hAnsi="Times New Roman"/>
                <w:b/>
                <w:sz w:val="14"/>
              </w:rPr>
              <w:t>Convertible</w:t>
            </w:r>
            <w:r>
              <w:rPr/>
              <w:br/>
            </w:r>
            <w:r>
              <w:rPr>
                <w:rFonts w:ascii="Times New Roman" w:hAnsi="Times New Roman"/>
                <w:b/>
                <w:sz w:val="14"/>
              </w:rPr>
              <w:t>Preferred Stock</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04"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Series B</w:t>
            </w:r>
            <w:r>
              <w:rPr/>
              <w:br/>
            </w:r>
            <w:r>
              <w:rPr>
                <w:rFonts w:ascii="Times New Roman" w:hAnsi="Times New Roman"/>
                <w:b/>
                <w:sz w:val="14"/>
              </w:rPr>
              <w:t>Redeemable</w:t>
            </w:r>
            <w:r>
              <w:rPr/>
              <w:br/>
            </w:r>
            <w:r>
              <w:rPr>
                <w:rFonts w:ascii="Times New Roman" w:hAnsi="Times New Roman"/>
                <w:b/>
                <w:sz w:val="14"/>
              </w:rPr>
              <w:t>Convertible</w:t>
              <w:br/>
              <w:t>Preferred Stock</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47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 stock</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66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Additional</w:t>
              <w:br/>
              <w:t>Paid In</w:t>
            </w:r>
            <w:r>
              <w:rPr/>
              <w:br/>
            </w:r>
            <w:r>
              <w:rPr>
                <w:rFonts w:ascii="Times New Roman" w:hAnsi="Times New Roman"/>
                <w:b/>
                <w:sz w:val="14"/>
              </w:rPr>
              <w:t>Capital</w:t>
            </w:r>
          </w:p>
        </w:tc>
        <w:tc>
          <w:tcPr>
            <w:tcW w:w="120" w:type="dxa"/>
            <w:vMerge w:val="restart"/>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14"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Deficit</w:t>
              <w:br/>
              <w:t>Accumulated</w:t>
              <w:br/>
              <w:t>During the</w:t>
              <w:br/>
              <w:t>Development</w:t>
              <w:br/>
              <w:t>Stage</w:t>
            </w:r>
          </w:p>
        </w:tc>
        <w:tc>
          <w:tcPr>
            <w:tcW w:w="119" w:type="dxa"/>
            <w:vMerge w:val="restart"/>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00"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5" w:type="dxa"/>
            <w:vMerge w:val="restart"/>
            <w:tcBorders/>
            <w:shd w:fill="auto" w:val="clear"/>
            <w:vAlign w:val="bottom"/>
          </w:tcPr>
          <w:p>
            <w:pPr>
              <w:pStyle w:val="TableContents"/>
              <w:spacing w:before="0" w:after="283"/>
              <w:rPr/>
            </w:pPr>
            <w:r>
              <w:rPr/>
              <w:t> </w:t>
            </w:r>
          </w:p>
        </w:tc>
      </w:tr>
      <w:tr>
        <w:trPr/>
        <w:tc>
          <w:tcPr>
            <w:tcW w:w="307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667"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89" w:type="dxa"/>
            <w:tcBorders/>
            <w:shd w:fill="auto" w:val="clear"/>
            <w:vAlign w:val="bottom"/>
          </w:tcPr>
          <w:p>
            <w:pPr>
              <w:pStyle w:val="TableContents"/>
              <w:spacing w:before="0" w:after="283"/>
              <w:rPr/>
            </w:pPr>
            <w:r>
              <w:rPr/>
              <w:t> </w:t>
            </w:r>
          </w:p>
        </w:tc>
        <w:tc>
          <w:tcPr>
            <w:tcW w:w="814" w:type="dxa"/>
            <w:gridSpan w:val="2"/>
            <w:vMerge w:val="continue"/>
            <w:tcBorders>
              <w:bottom w:val="single" w:sz="2" w:space="0" w:color="000000"/>
            </w:tcBorders>
            <w:shd w:fill="auto" w:val="clear"/>
            <w:tcMar>
              <w:bottom w:w="28" w:type="dxa"/>
            </w:tcMar>
            <w:vAlign w:val="bottom"/>
          </w:tcPr>
          <w:p>
            <w:pPr>
              <w:pStyle w:val="Normal"/>
              <w:rPr/>
            </w:pPr>
            <w:r>
              <w:rPr/>
            </w:r>
          </w:p>
        </w:tc>
        <w:tc>
          <w:tcPr>
            <w:tcW w:w="119" w:type="dxa"/>
            <w:vMerge w:val="continue"/>
            <w:tcBorders/>
            <w:shd w:fill="auto" w:val="clear"/>
            <w:vAlign w:val="bottom"/>
          </w:tcPr>
          <w:p>
            <w:pPr>
              <w:pStyle w:val="Normal"/>
              <w:rPr/>
            </w:pPr>
            <w:r>
              <w:rPr/>
            </w:r>
          </w:p>
        </w:tc>
        <w:tc>
          <w:tcPr>
            <w:tcW w:w="89" w:type="dxa"/>
            <w:tcBorders/>
            <w:shd w:fill="auto" w:val="clear"/>
            <w:vAlign w:val="bottom"/>
          </w:tcPr>
          <w:p>
            <w:pPr>
              <w:pStyle w:val="TableContents"/>
              <w:spacing w:before="0" w:after="283"/>
              <w:rPr/>
            </w:pPr>
            <w:r>
              <w:rPr/>
              <w:t> </w:t>
            </w:r>
          </w:p>
        </w:tc>
        <w:tc>
          <w:tcPr>
            <w:tcW w:w="500" w:type="dxa"/>
            <w:gridSpan w:val="2"/>
            <w:vMerge w:val="continue"/>
            <w:tcBorders>
              <w:bottom w:val="single" w:sz="2" w:space="0" w:color="000000"/>
            </w:tcBorders>
            <w:shd w:fill="auto" w:val="clear"/>
            <w:tcMar>
              <w:bottom w:w="28" w:type="dxa"/>
            </w:tcMar>
            <w:vAlign w:val="bottom"/>
          </w:tcPr>
          <w:p>
            <w:pPr>
              <w:pStyle w:val="Normal"/>
              <w:rPr/>
            </w:pPr>
            <w:r>
              <w:rPr/>
            </w:r>
          </w:p>
        </w:tc>
        <w:tc>
          <w:tcPr>
            <w:tcW w:w="135" w:type="dxa"/>
            <w:vMerge w:val="continue"/>
            <w:tcBorders/>
            <w:shd w:fill="auto" w:val="clear"/>
            <w:vAlign w:val="bottom"/>
          </w:tcPr>
          <w:p>
            <w:pPr>
              <w:pStyle w:val="Normal"/>
              <w:rPr/>
            </w:pPr>
            <w:r>
              <w:rPr/>
            </w:r>
          </w:p>
        </w:tc>
      </w:tr>
      <w:tr>
        <w:trPr/>
        <w:tc>
          <w:tcPr>
            <w:tcW w:w="307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6907" w:type="dxa"/>
            <w:gridSpan w:val="3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share and per share amounts)</w:t>
            </w:r>
          </w:p>
        </w:tc>
        <w:tc>
          <w:tcPr>
            <w:tcW w:w="135"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for cash, net of offering costs</w:t>
            </w:r>
          </w:p>
        </w:tc>
        <w:tc>
          <w:tcPr>
            <w:tcW w:w="89"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3,347,338</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4,014</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4,017</w:t>
            </w:r>
          </w:p>
        </w:tc>
        <w:tc>
          <w:tcPr>
            <w:tcW w:w="135" w:type="dxa"/>
            <w:tcBorders/>
            <w:shd w:fill="CCEEFF" w:val="clear"/>
            <w:vAlign w:val="bottom"/>
          </w:tcPr>
          <w:p>
            <w:pPr>
              <w:pStyle w:val="TableContents"/>
              <w:spacing w:before="0" w:after="283"/>
              <w:rPr/>
            </w:pPr>
            <w:r>
              <w:rPr/>
              <w:t>  </w:t>
            </w:r>
          </w:p>
        </w:tc>
      </w:tr>
      <w:tr>
        <w:trPr/>
        <w:tc>
          <w:tcPr>
            <w:tcW w:w="307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upon exercise of stock options for cash</w:t>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1,126</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8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5" w:type="dxa"/>
            <w:tcBorders/>
            <w:shd w:fill="auto" w:val="clear"/>
            <w:vAlign w:val="bottom"/>
          </w:tcPr>
          <w:p>
            <w:pPr>
              <w:pStyle w:val="TableContents"/>
              <w:spacing w:before="0" w:after="283"/>
              <w:rPr/>
            </w:pPr>
            <w:r>
              <w:rPr/>
              <w:t>  </w:t>
            </w:r>
          </w:p>
        </w:tc>
      </w:tr>
      <w:tr>
        <w:trPr/>
        <w:tc>
          <w:tcPr>
            <w:tcW w:w="3074" w:type="dxa"/>
            <w:tcBorders/>
            <w:shd w:fill="CCEEFF"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89"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w:t>
            </w:r>
          </w:p>
        </w:tc>
        <w:tc>
          <w:tcPr>
            <w:tcW w:w="135" w:type="dxa"/>
            <w:tcBorders/>
            <w:shd w:fill="CCEEFF" w:val="clear"/>
            <w:vAlign w:val="bottom"/>
          </w:tcPr>
          <w:p>
            <w:pPr>
              <w:pStyle w:val="TableContents"/>
              <w:spacing w:before="0" w:after="283"/>
              <w:rPr/>
            </w:pPr>
            <w:r>
              <w:rPr/>
              <w:t>  </w:t>
            </w:r>
          </w:p>
        </w:tc>
      </w:tr>
      <w:tr>
        <w:trPr/>
        <w:tc>
          <w:tcPr>
            <w:tcW w:w="3074" w:type="dxa"/>
            <w:tcBorders/>
            <w:shd w:fill="auto" w:val="clear"/>
          </w:tcPr>
          <w:p>
            <w:pPr>
              <w:pStyle w:val="TableContents"/>
              <w:spacing w:before="0" w:after="283"/>
              <w:rPr>
                <w:rFonts w:ascii="Times New Roman" w:hAnsi="Times New Roman"/>
                <w:sz w:val="14"/>
              </w:rPr>
            </w:pPr>
            <w:r>
              <w:rPr>
                <w:rFonts w:ascii="Times New Roman" w:hAnsi="Times New Roman"/>
                <w:sz w:val="14"/>
              </w:rPr>
              <w:t>Net loss</w:t>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8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(5,364</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(5,364</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074"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283"/>
              <w:rPr/>
            </w:pPr>
            <w:r>
              <w:rPr/>
              <w:t> </w:t>
            </w:r>
          </w:p>
        </w:tc>
        <w:tc>
          <w:tcPr>
            <w:tcW w:w="336"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283"/>
              <w:rPr/>
            </w:pPr>
            <w:r>
              <w:rPr/>
              <w:t> </w:t>
            </w:r>
          </w:p>
        </w:tc>
        <w:tc>
          <w:tcPr>
            <w:tcW w:w="33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single" w:sz="2" w:space="1" w:color="000000"/>
              </w:pBdr>
              <w:spacing w:before="0" w:after="283"/>
              <w:rPr/>
            </w:pPr>
            <w:r>
              <w:rPr/>
              <w:t> </w:t>
            </w:r>
          </w:p>
        </w:tc>
        <w:tc>
          <w:tcPr>
            <w:tcW w:w="336"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283"/>
              <w:rPr/>
            </w:pPr>
            <w:r>
              <w:rPr/>
              <w:t> </w:t>
            </w:r>
          </w:p>
        </w:tc>
        <w:tc>
          <w:tcPr>
            <w:tcW w:w="33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283"/>
              <w:rPr/>
            </w:pPr>
            <w:r>
              <w:rPr/>
              <w:t> </w:t>
            </w:r>
          </w:p>
        </w:tc>
        <w:tc>
          <w:tcPr>
            <w:tcW w:w="33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single" w:sz="2" w:space="1" w:color="000000"/>
              </w:pBdr>
              <w:spacing w:before="0" w:after="283"/>
              <w:rPr/>
            </w:pPr>
            <w:r>
              <w:rPr/>
              <w:t> </w:t>
            </w:r>
          </w:p>
        </w:tc>
        <w:tc>
          <w:tcPr>
            <w:tcW w:w="54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683"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405" w:type="dxa"/>
            <w:tcBorders/>
            <w:shd w:fill="auto" w:val="clear"/>
            <w:vAlign w:val="bottom"/>
          </w:tcPr>
          <w:p>
            <w:pPr>
              <w:pStyle w:val="TableContents"/>
              <w:pBdr>
                <w:top w:val="single" w:sz="2" w:space="1" w:color="000000"/>
              </w:pBdr>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3074"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December 31, 2011</w:t>
            </w:r>
          </w:p>
        </w:tc>
        <w:tc>
          <w:tcPr>
            <w:tcW w:w="89"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15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33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159"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33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12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12,182,999</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33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546"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69,394</w:t>
            </w:r>
          </w:p>
        </w:tc>
        <w:tc>
          <w:tcPr>
            <w:tcW w:w="12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683"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(63,674</w:t>
            </w:r>
          </w:p>
        </w:tc>
        <w:tc>
          <w:tcPr>
            <w:tcW w:w="1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 </w:t>
            </w:r>
          </w:p>
        </w:tc>
        <w:tc>
          <w:tcPr>
            <w:tcW w:w="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40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5,732</w:t>
            </w:r>
          </w:p>
        </w:tc>
        <w:tc>
          <w:tcPr>
            <w:tcW w:w="135" w:type="dxa"/>
            <w:tcBorders/>
            <w:shd w:fill="CCEEFF" w:val="clear"/>
            <w:vAlign w:val="bottom"/>
          </w:tcPr>
          <w:p>
            <w:pPr>
              <w:pStyle w:val="TableContents"/>
              <w:spacing w:before="0" w:after="283"/>
              <w:rPr/>
            </w:pPr>
            <w:r>
              <w:rPr/>
              <w:t>  </w:t>
            </w:r>
          </w:p>
        </w:tc>
      </w:tr>
      <w:tr>
        <w:trPr/>
        <w:tc>
          <w:tcPr>
            <w:tcW w:w="3074"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double" w:sz="6" w:space="1" w:color="000000"/>
              </w:pBdr>
              <w:spacing w:before="0" w:after="283"/>
              <w:rPr/>
            </w:pPr>
            <w:r>
              <w:rPr/>
              <w:t> </w:t>
            </w:r>
          </w:p>
        </w:tc>
        <w:tc>
          <w:tcPr>
            <w:tcW w:w="336"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283"/>
              <w:rPr/>
            </w:pPr>
            <w:r>
              <w:rPr/>
              <w:t> </w:t>
            </w:r>
          </w:p>
        </w:tc>
        <w:tc>
          <w:tcPr>
            <w:tcW w:w="33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pBdr>
                <w:top w:val="double" w:sz="6" w:space="1" w:color="000000"/>
              </w:pBdr>
              <w:spacing w:before="0" w:after="283"/>
              <w:rPr/>
            </w:pPr>
            <w:r>
              <w:rPr/>
              <w:t> </w:t>
            </w:r>
          </w:p>
        </w:tc>
        <w:tc>
          <w:tcPr>
            <w:tcW w:w="336"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283"/>
              <w:rPr/>
            </w:pPr>
            <w:r>
              <w:rPr/>
              <w:t> </w:t>
            </w:r>
          </w:p>
        </w:tc>
        <w:tc>
          <w:tcPr>
            <w:tcW w:w="33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0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283"/>
              <w:rPr/>
            </w:pPr>
            <w:r>
              <w:rPr/>
              <w:t> </w:t>
            </w:r>
          </w:p>
        </w:tc>
        <w:tc>
          <w:tcPr>
            <w:tcW w:w="33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pBdr>
                <w:top w:val="double" w:sz="6" w:space="1" w:color="000000"/>
              </w:pBdr>
              <w:spacing w:before="0" w:after="283"/>
              <w:rPr/>
            </w:pPr>
            <w:r>
              <w:rPr/>
              <w:t> </w:t>
            </w:r>
          </w:p>
        </w:tc>
        <w:tc>
          <w:tcPr>
            <w:tcW w:w="54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683"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405" w:type="dxa"/>
            <w:tcBorders/>
            <w:shd w:fill="auto" w:val="clear"/>
            <w:vAlign w:val="bottom"/>
          </w:tcPr>
          <w:p>
            <w:pPr>
              <w:pStyle w:val="TableContents"/>
              <w:pBdr>
                <w:top w:val="double" w:sz="6" w:space="1" w:color="000000"/>
              </w:pBdr>
              <w:spacing w:before="0" w:after="283"/>
              <w:rPr/>
            </w:pPr>
            <w:r>
              <w:rPr/>
              <w:t> </w:t>
            </w:r>
          </w:p>
        </w:tc>
        <w:tc>
          <w:tcPr>
            <w:tcW w:w="135"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180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x280818_16"/>
      <w:bookmarkEnd w:id="18"/>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64"/>
        <w:gridCol w:w="598"/>
        <w:gridCol w:w="131"/>
        <w:gridCol w:w="567"/>
        <w:gridCol w:w="160"/>
        <w:gridCol w:w="561"/>
        <w:gridCol w:w="130"/>
        <w:gridCol w:w="568"/>
        <w:gridCol w:w="598"/>
        <w:gridCol w:w="598"/>
        <w:gridCol w:w="134"/>
        <w:gridCol w:w="673"/>
        <w:gridCol w:w="123"/>
      </w:tblGrid>
      <w:tr>
        <w:trPr/>
        <w:tc>
          <w:tcPr>
            <w:tcW w:w="5364"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36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211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80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December 17,</w:t>
              <w:br/>
              <w:t>2001 (date of</w:t>
              <w:br/>
              <w:t>inception) to</w:t>
            </w:r>
            <w:r>
              <w:rPr/>
              <w:br/>
            </w:r>
            <w:r>
              <w:rPr>
                <w:rFonts w:ascii="Times New Roman" w:hAnsi="Times New Roman"/>
                <w:b/>
                <w:sz w:val="14"/>
              </w:rPr>
              <w:t>December 31,</w:t>
              <w:br/>
              <w:t>2011</w:t>
            </w:r>
          </w:p>
        </w:tc>
        <w:tc>
          <w:tcPr>
            <w:tcW w:w="123" w:type="dxa"/>
            <w:vMerge w:val="restart"/>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69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9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807" w:type="dxa"/>
            <w:gridSpan w:val="2"/>
            <w:vMerge w:val="continue"/>
            <w:tcBorders>
              <w:bottom w:val="single" w:sz="2" w:space="0" w:color="000000"/>
            </w:tcBorders>
            <w:shd w:fill="auto" w:val="clear"/>
            <w:tcMar>
              <w:bottom w:w="28" w:type="dxa"/>
            </w:tcMar>
            <w:vAlign w:val="bottom"/>
          </w:tcPr>
          <w:p>
            <w:pPr>
              <w:pStyle w:val="Normal"/>
              <w:rPr/>
            </w:pPr>
            <w:r>
              <w:rPr/>
            </w:r>
          </w:p>
        </w:tc>
        <w:tc>
          <w:tcPr>
            <w:tcW w:w="123" w:type="dxa"/>
            <w:vMerge w:val="continue"/>
            <w:tcBorders/>
            <w:shd w:fill="auto" w:val="clear"/>
            <w:vAlign w:val="bottom"/>
          </w:tcPr>
          <w:p>
            <w:pPr>
              <w:pStyle w:val="Normal"/>
              <w:rPr/>
            </w:pPr>
            <w:r>
              <w:rPr/>
            </w:r>
          </w:p>
        </w:tc>
      </w:tr>
      <w:tr>
        <w:trPr/>
        <w:tc>
          <w:tcPr>
            <w:tcW w:w="536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2117"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80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b/>
                <w:sz w:val="14"/>
              </w:rPr>
            </w:pPr>
            <w:r>
              <w:rPr>
                <w:rFonts w:ascii="Times New Roman" w:hAnsi="Times New Roman"/>
                <w:b/>
                <w:sz w:val="14"/>
              </w:rPr>
              <w:t>Cash flows used in operating activities: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Net loss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(5,364</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(8,420</w:t>
            </w:r>
          </w:p>
        </w:tc>
        <w:tc>
          <w:tcPr>
            <w:tcW w:w="59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(63,674</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Adjustments to reconcile net loss to net cash used in operating activities: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Gain on patent rights assignment</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(2,000</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(2,000</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Gain on bargain purchase</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(25,282</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Depreciation and amortization</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602</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338</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1,737</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Non-cash interest expense</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211</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Share-based compensation</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458</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2,282</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warrants for lease termination</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377</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Accretion of liabilities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152</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Impairment of property and equipment</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Impairment of in-process research and development</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6,000</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Write-off of deferred tax liability</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(2,281</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Gain on marketable securities available for sale</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(263</w:t>
            </w:r>
          </w:p>
        </w:tc>
        <w:tc>
          <w:tcPr>
            <w:tcW w:w="59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(263</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(Gain) loss from disposal of property and equipment</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5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Other, net</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267</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Change in operating assets and liabilities (net of amounts acquired):</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Other current assets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2,542</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Other assets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7,246</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Accounts payable</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w:t>
            </w:r>
          </w:p>
        </w:tc>
        <w:tc>
          <w:tcPr>
            <w:tcW w:w="59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(1,930</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Accrued expenses and other liabilities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(220</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(316</w:t>
            </w:r>
          </w:p>
        </w:tc>
        <w:tc>
          <w:tcPr>
            <w:tcW w:w="5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(18,984</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Deferred rent</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(267</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w:t>
            </w:r>
          </w:p>
        </w:tc>
        <w:tc>
          <w:tcPr>
            <w:tcW w:w="59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w:t>
            </w:r>
          </w:p>
        </w:tc>
        <w:tc>
          <w:tcPr>
            <w:tcW w:w="123" w:type="dxa"/>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cash used in operating activities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(6,959</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(8,324</w:t>
            </w:r>
          </w:p>
        </w:tc>
        <w:tc>
          <w:tcPr>
            <w:tcW w:w="5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(93,343</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b/>
                <w:sz w:val="14"/>
              </w:rPr>
            </w:pPr>
            <w:r>
              <w:rPr>
                <w:rFonts w:ascii="Times New Roman" w:hAnsi="Times New Roman"/>
                <w:b/>
                <w:sz w:val="14"/>
              </w:rPr>
              <w:t>Cash flows provided by investing activities: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sz w:val="4"/>
                <w:szCs w:val="4"/>
              </w:rPr>
            </w:pPr>
            <w:r>
              <w:rPr>
                <w:sz w:val="4"/>
                <w:szCs w:val="4"/>
              </w:rPr>
            </w:r>
          </w:p>
        </w:tc>
        <w:tc>
          <w:tcPr>
            <w:tcW w:w="6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Cash received from Merger</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30,392</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Payment of deferred transaction costs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(1,186</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Purchase of property and equipment</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5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(1,879</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sale of marketable securities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263</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15,369</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sale of property and equipment</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358</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patent rights assignment</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2,000</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2,000</w:t>
            </w:r>
          </w:p>
        </w:tc>
        <w:tc>
          <w:tcPr>
            <w:tcW w:w="123" w:type="dxa"/>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cash provided by investing activities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2,006</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265</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45,054</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b/>
                <w:sz w:val="14"/>
              </w:rPr>
            </w:pPr>
            <w:r>
              <w:rPr>
                <w:rFonts w:ascii="Times New Roman" w:hAnsi="Times New Roman"/>
                <w:b/>
                <w:sz w:val="14"/>
              </w:rPr>
              <w:t>Cash flows provided by (used in) financing activities: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sz w:val="4"/>
                <w:szCs w:val="4"/>
              </w:rPr>
            </w:pPr>
            <w:r>
              <w:rPr>
                <w:sz w:val="4"/>
                <w:szCs w:val="4"/>
              </w:rPr>
            </w:r>
          </w:p>
        </w:tc>
        <w:tc>
          <w:tcPr>
            <w:tcW w:w="6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issuance of convertible notes payable and related warrants for common stock</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10,841</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issuance of bank note payable</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4,000</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stock subject to repurchase</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the issuance of preferred stock</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32,316</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Preferred stock offering costs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(246</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the issuance of common stock</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4,726</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7,659</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12,581</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Payment of offering costs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(709</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(338</w:t>
            </w:r>
          </w:p>
        </w:tc>
        <w:tc>
          <w:tcPr>
            <w:tcW w:w="5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(1,047</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Repayment of principal on bank note payable</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(4,000</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Repayment of principal on convertible notes payables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Repayment of principal on vendor finance agreement</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(146</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(146</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cash provided by (used in) financing activities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3,871</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7,321</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54,232</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b/>
                <w:sz w:val="14"/>
              </w:rPr>
            </w:pPr>
            <w:r>
              <w:rPr>
                <w:rFonts w:ascii="Times New Roman" w:hAnsi="Times New Roman"/>
                <w:b/>
                <w:sz w:val="14"/>
              </w:rPr>
              <w:t>Net (decrease) increase in cash and cash equivalents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(1,082</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(738</w:t>
            </w:r>
          </w:p>
        </w:tc>
        <w:tc>
          <w:tcPr>
            <w:tcW w:w="59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5,943</w:t>
            </w:r>
          </w:p>
        </w:tc>
        <w:tc>
          <w:tcPr>
            <w:tcW w:w="123" w:type="dxa"/>
            <w:tcBorders/>
            <w:shd w:fill="auto" w:val="clear"/>
            <w:vAlign w:val="bottom"/>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Cash and cash equivalents, beginning of period</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7,025</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7,763</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68"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b/>
                <w:sz w:val="14"/>
              </w:rPr>
            </w:pPr>
            <w:r>
              <w:rPr>
                <w:rFonts w:ascii="Times New Roman" w:hAnsi="Times New Roman"/>
                <w:b/>
                <w:sz w:val="14"/>
              </w:rPr>
              <w:t>Cash and cash equivalents, end of period</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5,943</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7,025</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5,943</w:t>
            </w:r>
          </w:p>
        </w:tc>
        <w:tc>
          <w:tcPr>
            <w:tcW w:w="123" w:type="dxa"/>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68"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7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Supplemental cash flow information:</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Interest paid</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112</w:t>
            </w:r>
          </w:p>
        </w:tc>
        <w:tc>
          <w:tcPr>
            <w:tcW w:w="123" w:type="dxa"/>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68"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7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Supplemental disclosure of noncash investing and financing transactions:</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Accrued interest on notes payable converted to equity</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163</w:t>
            </w:r>
          </w:p>
        </w:tc>
        <w:tc>
          <w:tcPr>
            <w:tcW w:w="123" w:type="dxa"/>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68"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7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CCEEFF" w:val="clear"/>
          </w:tcPr>
          <w:p>
            <w:pPr>
              <w:pStyle w:val="TableContents"/>
              <w:spacing w:before="0" w:after="283"/>
              <w:rPr>
                <w:rFonts w:ascii="Times New Roman" w:hAnsi="Times New Roman"/>
                <w:sz w:val="14"/>
              </w:rPr>
            </w:pPr>
            <w:r>
              <w:rPr>
                <w:rFonts w:ascii="Times New Roman" w:hAnsi="Times New Roman"/>
                <w:sz w:val="14"/>
              </w:rPr>
              <w:t>Warrant issued in connection with credit facility</w:t>
            </w:r>
          </w:p>
        </w:tc>
        <w:tc>
          <w:tcPr>
            <w:tcW w:w="598"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111</w:t>
            </w:r>
          </w:p>
        </w:tc>
        <w:tc>
          <w:tcPr>
            <w:tcW w:w="123" w:type="dxa"/>
            <w:tcBorders/>
            <w:shd w:fill="CCEEFF"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68"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7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64" w:type="dxa"/>
            <w:tcBorders/>
            <w:shd w:fill="auto" w:val="clear"/>
          </w:tcPr>
          <w:p>
            <w:pPr>
              <w:pStyle w:val="TableContents"/>
              <w:spacing w:before="0" w:after="283"/>
              <w:rPr>
                <w:rFonts w:ascii="Times New Roman" w:hAnsi="Times New Roman"/>
                <w:sz w:val="14"/>
              </w:rPr>
            </w:pPr>
            <w:r>
              <w:rPr>
                <w:rFonts w:ascii="Times New Roman" w:hAnsi="Times New Roman"/>
                <w:sz w:val="14"/>
              </w:rPr>
              <w:t>Accrued deferred transaction costs</w:t>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598"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482</w:t>
            </w:r>
          </w:p>
        </w:tc>
        <w:tc>
          <w:tcPr>
            <w:tcW w:w="123" w:type="dxa"/>
            <w:tcBorders/>
            <w:shd w:fill="auto" w:val="clear"/>
            <w:vAlign w:val="bottom"/>
          </w:tcPr>
          <w:p>
            <w:pPr>
              <w:pStyle w:val="TableContents"/>
              <w:spacing w:before="0" w:after="283"/>
              <w:rPr/>
            </w:pPr>
            <w:r>
              <w:rPr/>
              <w:t>  </w:t>
            </w:r>
          </w:p>
        </w:tc>
      </w:tr>
      <w:tr>
        <w:trPr/>
        <w:tc>
          <w:tcPr>
            <w:tcW w:w="5364"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68"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center"/>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7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x280818_17"/>
      <w:bookmarkEnd w:id="19"/>
      <w:r>
        <w:rPr>
          <w:rFonts w:ascii="Times New Roman" w:hAnsi="Times New Roman"/>
          <w:b/>
          <w:sz w:val="20"/>
        </w:rPr>
        <w:t xml:space="preserve">ARCA BIOPHARMA, INC. </w:t>
      </w:r>
    </w:p>
    <w:p>
      <w:pPr>
        <w:pStyle w:val="TextBody"/>
        <w:spacing w:before="0" w:after="0"/>
        <w:jc w:val="center"/>
        <w:rPr>
          <w:rFonts w:ascii="Times New Roman" w:hAnsi="Times New Roman"/>
          <w:b/>
          <w:sz w:val="20"/>
        </w:rPr>
      </w:pPr>
      <w:r>
        <w:rPr>
          <w:rFonts w:ascii="Times New Roman" w:hAnsi="Times New Roman"/>
          <w:b/>
          <w:sz w:val="20"/>
        </w:rPr>
        <w:t xml:space="preserve">(a development stage enterprise)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180" w:after="0"/>
        <w:rPr>
          <w:rFonts w:ascii="Times New Roman" w:hAnsi="Times New Roman"/>
          <w:b/>
          <w:sz w:val="20"/>
        </w:rPr>
      </w:pPr>
      <w:r>
        <w:rPr>
          <w:rFonts w:ascii="Times New Roman" w:hAnsi="Times New Roman"/>
          <w:b/>
          <w:sz w:val="20"/>
        </w:rPr>
        <w:t xml:space="preserve">(1) The Company and Summary of Significant Accounting Policies </w:t>
      </w:r>
    </w:p>
    <w:p>
      <w:pPr>
        <w:pStyle w:val="TextBody"/>
        <w:spacing w:before="90" w:after="0"/>
        <w:rPr>
          <w:rFonts w:ascii="Times New Roman" w:hAnsi="Times New Roman"/>
          <w:b/>
          <w:i/>
          <w:sz w:val="20"/>
        </w:rPr>
      </w:pPr>
      <w:r>
        <w:rPr>
          <w:rFonts w:ascii="Times New Roman" w:hAnsi="Times New Roman"/>
          <w:b/>
          <w:i/>
          <w:sz w:val="20"/>
        </w:rPr>
        <w:t xml:space="preserve">Description of Business </w:t>
      </w:r>
    </w:p>
    <w:p>
      <w:pPr>
        <w:pStyle w:val="TextBody"/>
        <w:pBdr/>
        <w:spacing w:before="90" w:after="0"/>
        <w:rPr/>
      </w:pPr>
      <w:r>
        <w:rPr>
          <w:rFonts w:ascii="Times New Roman" w:hAnsi="Times New Roman"/>
          <w:sz w:val="20"/>
        </w:rPr>
        <w:t>ARCA biopharma, Inc., or the Company or ARCA, a Delaware corporation, is headquartered in Broomfield, Colorado and is a biopharmaceutical company principally focused on developing genetically-targeted therapies for cardiovascular diseases. The Companys lead product candidate, Gencaro</w:t>
      </w:r>
      <w:r>
        <w:rPr>
          <w:rFonts w:ascii="Times New Roman" w:hAnsi="Times New Roman"/>
          <w:sz w:val="14"/>
        </w:rPr>
        <w:t>TM</w:t>
      </w:r>
      <w:r>
        <w:rPr/>
        <w:t xml:space="preserve"> </w:t>
      </w:r>
      <w:r>
        <w:rPr>
          <w:rFonts w:ascii="Times New Roman" w:hAnsi="Times New Roman"/>
          <w:sz w:val="20"/>
        </w:rPr>
        <w:t xml:space="preserve">(bucindolol hydrochloride), a pharmacologically unique beta-blocker and mild vasodilator, is being developed for the treatment and the prevention of atrial fibrillation, or AF, in patients with heart failure, or HF. The Company has identified common genetic variations in the cardiovascular system that it believes interact with Gencaros pharmacology and may predict patient response to Gencaro treatment. The Company has been granted patents in the U.S., Europe, and other jurisdictions for methods of treating AF and HF patients with Gencaro based on genetic testing, which it believes will provide market exclusivity for these uses of Gencaro into at least 2026 in the U.S. and into 2025 in Europe. In addition, the Company believes that if Gencaro is approved, the Gencaro patents will be eligible for patent term extension based on our current clinical trial plans which, if granted in the U.S., may provide market exclusivity in the U.S. into 2029, and if granted in Europe may provide market exclusivity into 2030. </w:t>
      </w:r>
    </w:p>
    <w:p>
      <w:pPr>
        <w:pStyle w:val="TextBody"/>
        <w:spacing w:before="180" w:after="0"/>
        <w:rPr>
          <w:rFonts w:ascii="Times New Roman" w:hAnsi="Times New Roman"/>
          <w:sz w:val="20"/>
        </w:rPr>
      </w:pPr>
      <w:r>
        <w:rPr>
          <w:rFonts w:ascii="Times New Roman" w:hAnsi="Times New Roman"/>
          <w:sz w:val="20"/>
        </w:rPr>
        <w:t xml:space="preserve">The Company is planning to initiate a Phase 3 clinical study of Gencaro in AF patients with HF and/or left ventricular dysfunction. The Company believes AF is an attractive indication for Gencaro because data from the previously conducted Phase 3 HF trial of Gencaro in 2,708 HF patients, or the BEST HF trial, suggest that Gencaro may have a potentially significant effect in reducing or preventing AF. Based on the BEST HF trial, the Company believes that Gencaros prevention of AF in HF patients is pharmacogenetically regulated. The Company plans to enroll approximately 200-400 patients with persistent AF who have the genotype that appears to respond most favorably to Gencaro. The Company anticipates that the AF trial could begin approximately 6 months after the Company obtains sufficient funding. </w:t>
      </w:r>
    </w:p>
    <w:p>
      <w:pPr>
        <w:pStyle w:val="TextBody"/>
        <w:spacing w:before="180" w:after="0"/>
        <w:rPr>
          <w:rFonts w:ascii="Times New Roman" w:hAnsi="Times New Roman"/>
          <w:sz w:val="20"/>
        </w:rPr>
      </w:pPr>
      <w:r>
        <w:rPr>
          <w:rFonts w:ascii="Times New Roman" w:hAnsi="Times New Roman"/>
          <w:sz w:val="20"/>
        </w:rPr>
        <w:t xml:space="preserve">To support the continued development of Gencaro, including the planned AF clinical trial and ongoing operations, the Company will need to raise substantial additional funding through public or private debt or equity transactions or a strategic combination or partnership, or government funding. </w:t>
      </w:r>
    </w:p>
    <w:p>
      <w:pPr>
        <w:pStyle w:val="TextBody"/>
        <w:spacing w:before="180" w:after="0"/>
        <w:rPr>
          <w:rFonts w:ascii="Times New Roman" w:hAnsi="Times New Roman"/>
          <w:sz w:val="20"/>
        </w:rPr>
      </w:pPr>
      <w:r>
        <w:rPr>
          <w:rFonts w:ascii="Times New Roman" w:hAnsi="Times New Roman"/>
          <w:sz w:val="20"/>
        </w:rPr>
        <w:t xml:space="preserve">ARCA also holds exclusive patent rights to other product candidates that have potential indications in cardiovascular disease, oncology and other therapeutic areas, some of which are in early stages of development and others of which are in later stages of development. The Company is seeking partners to assist it in the development of these candidates or who may license them. For example, ARCA holds exclusive rights to rNAPc2, a recombinant protein that is a potent, long acting tissue factor inhibitor with a unique mechanism of action. Previously, preclinical studies of rNAPc2 showed evidence of potential efficacy against lethal hemorrhagic fever viruses. </w:t>
      </w:r>
    </w:p>
    <w:p>
      <w:pPr>
        <w:pStyle w:val="TextBody"/>
        <w:spacing w:before="270" w:after="0"/>
        <w:rPr>
          <w:rFonts w:ascii="Times New Roman" w:hAnsi="Times New Roman"/>
          <w:b/>
          <w:i/>
          <w:sz w:val="20"/>
        </w:rPr>
      </w:pPr>
      <w:r>
        <w:rPr>
          <w:rFonts w:ascii="Times New Roman" w:hAnsi="Times New Roman"/>
          <w:b/>
          <w:i/>
          <w:sz w:val="20"/>
        </w:rPr>
        <w:t xml:space="preserve">Development Stage Risks, Liquidity and Going Concern </w:t>
      </w:r>
    </w:p>
    <w:p>
      <w:pPr>
        <w:pStyle w:val="TextBody"/>
        <w:spacing w:before="90" w:after="0"/>
        <w:rPr>
          <w:rFonts w:ascii="Times New Roman" w:hAnsi="Times New Roman"/>
          <w:sz w:val="20"/>
        </w:rPr>
      </w:pPr>
      <w:r>
        <w:rPr>
          <w:rFonts w:ascii="Times New Roman" w:hAnsi="Times New Roman"/>
          <w:sz w:val="20"/>
        </w:rPr>
        <w:t xml:space="preserve">The Company is in the development stage and devotes substantially all of its efforts towards obtaining regulatory approval, exploring strategic alternatives for further developing Gencaro, and raising capital necessary to fund its operations. The Company has not generated revenue to date and is subject to a number of risks similar to those of other development stage companies, including dependence on key individuals, the development of and regulatory approval of commercially viable products, the need to raise adequate additional financing necessary to fund the development and commercialization of its products, and competition from larger companies. The Company has historically funded its operations through issuances of convertible promissory notes and shares of its common and preferred stock, as well as through the business combination with Nuvelo, Inc, or Nuvelo.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Since ARCA was founded on December 17, 2001, or Inception, the Company has incurred substantial losses and negative cash flows from operations. Since Inception, the Company incurred a loss from operations of $94.8 million and had negative cash flows from operations of $93.3 million. </w:t>
      </w:r>
    </w:p>
    <w:p>
      <w:pPr>
        <w:pStyle w:val="TextBody"/>
        <w:spacing w:before="180" w:after="0"/>
        <w:rPr>
          <w:rFonts w:ascii="Times New Roman" w:hAnsi="Times New Roman"/>
          <w:sz w:val="20"/>
        </w:rPr>
      </w:pPr>
      <w:r>
        <w:rPr>
          <w:rFonts w:ascii="Times New Roman" w:hAnsi="Times New Roman"/>
          <w:sz w:val="20"/>
        </w:rPr>
        <w:t xml:space="preserve">In light of the substantial additional time and costs associated with the development of Gencaro and the need to raise a significant amount of capital on acceptable terms to finance the additional clinical trial and the Companys ongoing operations, the Company is evaluating strategic alternatives for funding continued operations and development programs. The Company will need to complete a strategic transaction, such as a strategic combination or partnership, or raise substantial additional funding through public or private debt or equity securities, or government funding to support the continued development of Gencaro, including the additional clinical trial. In 2011, the Company raised $4.0 million, net of offering costs, through the sales of our common stock and may seek additional funding that could allow it to operate while it continues to pursue strategic combination, partnering, additional financing and licensing opportunities. If the Company is delayed in completing or is unable to complete additional funding and/or a strategic transaction, the Company may discontinue its development activities or discontinue its operations. The Company currently believes its cash and cash equivalents balance as of December 31, 2011 will be sufficient to fund its operations through September 30, 2012. The Company is unable to assert that its current cash and cash equivalents are sufficient to fund operations beyond that date, and as a result, there is substantial doubt about the Companys ability to continue as a going concern beyond September 30, 2012. These consolidated financial statements have been prepared with the assumption that the Company will continue as a going concern and will be able to realize its assets and discharge its liabilities in the normal course of business and do not include any adjustments to reflect the possible future effects on the recoverability and classification of assets or the amounts and classification of liabilities that may result from the inability of the Company to continue as a going concern. The Company may not be able to raise sufficient capital on acceptable terms, or at all, to continue development of Gencaro or to otherwise continue operations and may not be able to execute any strategic transaction. </w:t>
      </w:r>
    </w:p>
    <w:p>
      <w:pPr>
        <w:pStyle w:val="TextBody"/>
        <w:spacing w:before="180" w:after="0"/>
        <w:rPr>
          <w:rFonts w:ascii="Times New Roman" w:hAnsi="Times New Roman"/>
          <w:sz w:val="20"/>
        </w:rPr>
      </w:pPr>
      <w:r>
        <w:rPr>
          <w:rFonts w:ascii="Times New Roman" w:hAnsi="Times New Roman"/>
          <w:sz w:val="20"/>
        </w:rPr>
        <w:t xml:space="preserve">The Companys liquidity, and its ability to raise additional capital or complete any strategic transaction, depends on a number of factors, including, but not limited to,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costs and timing for the planned AF clinical trial in order to gain possible FDA approval for Gencaro;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market price of the Companys stock and the availability and cost of additional equity capital from existing and potential new investors;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ability to retain the listing of its common stock on the Nasdaq Capital Market;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and industry conditions affecting the availability and cost of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ability to control costs associated with its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costs of filing, prosecuting, defending and enforcing any patent claims and other intellectual property rights;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terms and conditions of the Companys existing collaborative and licensing agreements. </w:t>
            </w:r>
          </w:p>
        </w:tc>
      </w:tr>
    </w:tbl>
    <w:p>
      <w:pPr>
        <w:pStyle w:val="TextBody"/>
        <w:spacing w:before="180" w:after="0"/>
        <w:rPr>
          <w:rFonts w:ascii="Times New Roman" w:hAnsi="Times New Roman"/>
          <w:sz w:val="20"/>
        </w:rPr>
      </w:pPr>
      <w:r>
        <w:rPr>
          <w:rFonts w:ascii="Times New Roman" w:hAnsi="Times New Roman"/>
          <w:sz w:val="20"/>
        </w:rPr>
        <w:t xml:space="preserve">The sale of additional equity or convertible debt securities would likely result in substantial additional dilution to the Companys stockholders. If the Company raises additional funds through the incurrence of indebtedness, the obligations related to such indebtedness would be senior to rights of holders of the Companys capital stock and could contain covenants that would restrict the Companys operations. The Company also cannot predict what consideration might be available, if any, to the Company or its stockholders, in connection with any strategic transaction. Should strategic alternatives or additional capital not be available to the Company in the near term, or not be available on acceptable terms, the Company may be unable to realize value from its assets and discharge its liabilities in the normal course of business which may, among other alternatives, cause the Company to further delay, substantially reduce or discontinue operational activities to conserve its cash resources.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Merger with Nuvelo, Inc. </w:t>
      </w:r>
    </w:p>
    <w:p>
      <w:pPr>
        <w:pStyle w:val="TextBody"/>
        <w:spacing w:before="90" w:after="0"/>
        <w:rPr>
          <w:rFonts w:ascii="Times New Roman" w:hAnsi="Times New Roman"/>
          <w:sz w:val="20"/>
        </w:rPr>
      </w:pPr>
      <w:r>
        <w:rPr>
          <w:rFonts w:ascii="Times New Roman" w:hAnsi="Times New Roman"/>
          <w:sz w:val="20"/>
        </w:rPr>
        <w:t xml:space="preserve">On January 27, 2009, the Company completed a business combination, or the Merger, with ARCA Colorado in accordance with the terms of that Agreement and Plan of Merger and Reorganization, dated September 24, 2008, and amended on October 28, 2008 (as amended, the Merger Agreement), in which a wholly-owned subsidiary of Nuvelo merged with and into ARCA Colorado, with ARCA Colorado continuing after the Merger as the surviving corporation and a wholly-owned subsidiary of Nuvelo. Immediately following the Merger, the Company changed its name from Nuvelo, Inc. to ARCA biopharma, Inc. The business combination is treated as a reverse merger for accounting purposes, and ARCA Colorado is the accounting acquirer, and the entity formerly known as Nuvelo, Inc. is the acquired company (Nuvelo). Pursuant to the rules and regulations of the United States Securities and Exchange Commission, or the SEC, the historical financial statements of ARCA Colorado replaced the historical financial statements of the acquired company, and the disclosures in this report relating to the pre-Merger business of the Company, unless noted as being the business of Nuvelo prior to the Merger, pertain to the business of ARCA Colorado prior to the Merger. See Note 3 for further discussion of the Merger. </w:t>
      </w:r>
    </w:p>
    <w:p>
      <w:pPr>
        <w:pStyle w:val="TextBody"/>
        <w:spacing w:before="270" w:after="0"/>
        <w:rPr>
          <w:rFonts w:ascii="Times New Roman" w:hAnsi="Times New Roman"/>
          <w:b/>
          <w:i/>
          <w:sz w:val="20"/>
        </w:rPr>
      </w:pPr>
      <w:r>
        <w:rPr>
          <w:rFonts w:ascii="Times New Roman" w:hAnsi="Times New Roman"/>
          <w:b/>
          <w:i/>
          <w:sz w:val="20"/>
        </w:rPr>
        <w:t xml:space="preserve">Merger Exchange Ratio and Reverse Stock Split </w:t>
      </w:r>
    </w:p>
    <w:p>
      <w:pPr>
        <w:pStyle w:val="TextBody"/>
        <w:spacing w:before="90" w:after="0"/>
        <w:rPr>
          <w:rFonts w:ascii="Times New Roman" w:hAnsi="Times New Roman"/>
          <w:sz w:val="20"/>
        </w:rPr>
      </w:pPr>
      <w:r>
        <w:rPr>
          <w:rFonts w:ascii="Times New Roman" w:hAnsi="Times New Roman"/>
          <w:sz w:val="20"/>
        </w:rPr>
        <w:t xml:space="preserve">In conjunction with and immediately prior to the Merger, Nuvelo effected a 1 for 20 reverse stock split. As a result, and in accordance with the Merger Agreement, each outstanding common share and warrant or option to purchase ARCA Colorados common stock prior to the Merger was converted into the right to receive or purchase 0.16698070, or the Exchange Ratio, shares of the Companys common stock, which Exchange Ratio incorporates the effect of the reverse stock split. All common shares, options and warrants to purchase common shares and per common share amounts for all periods presented in the accompanying financial statements and notes have been adjusted retroactively to reflect the effect of the Exchange Ratio, except for the par value per share and the number of shares authorized, which are not affected by the Exchange Ratio. The accompanying consolidated financial statements and notes have not been adjusted to retroactively reflect the effect of the Exchange Ratio on preferred shares, warrants to purchase preferred shares, and per preferred share amounts. </w:t>
      </w:r>
    </w:p>
    <w:p>
      <w:pPr>
        <w:pStyle w:val="TextBody"/>
        <w:spacing w:before="270" w:after="0"/>
        <w:rPr>
          <w:rFonts w:ascii="Times New Roman" w:hAnsi="Times New Roman"/>
          <w:b/>
          <w:i/>
          <w:sz w:val="20"/>
        </w:rPr>
      </w:pPr>
      <w:r>
        <w:rPr>
          <w:rFonts w:ascii="Times New Roman" w:hAnsi="Times New Roman"/>
          <w:b/>
          <w:i/>
          <w:sz w:val="20"/>
        </w:rPr>
        <w:t xml:space="preserve">Basis of Presentation </w:t>
      </w:r>
    </w:p>
    <w:p>
      <w:pPr>
        <w:pStyle w:val="TextBody"/>
        <w:spacing w:before="90" w:after="0"/>
        <w:rPr>
          <w:rFonts w:ascii="Times New Roman" w:hAnsi="Times New Roman"/>
          <w:sz w:val="20"/>
        </w:rPr>
      </w:pPr>
      <w:r>
        <w:rPr>
          <w:rFonts w:ascii="Times New Roman" w:hAnsi="Times New Roman"/>
          <w:sz w:val="20"/>
        </w:rPr>
        <w:t xml:space="preserve">The Company has generated no revenue to date and its activities have consisted of seeking regulatory approval, research and development, exploring strategic alternatives for further developing and commercializing Gencaro, and raising capital. Accordingly, the Company is considered to be in the development stage at December 31, 2011. </w:t>
      </w:r>
    </w:p>
    <w:p>
      <w:pPr>
        <w:pStyle w:val="TextBody"/>
        <w:spacing w:before="270" w:after="0"/>
        <w:rPr>
          <w:rFonts w:ascii="Times New Roman" w:hAnsi="Times New Roman"/>
          <w:b/>
          <w:i/>
          <w:sz w:val="20"/>
        </w:rPr>
      </w:pPr>
      <w:r>
        <w:rPr>
          <w:rFonts w:ascii="Times New Roman" w:hAnsi="Times New Roman"/>
          <w:b/>
          <w:i/>
          <w:sz w:val="20"/>
        </w:rPr>
        <w:t xml:space="preserve">Accounting Estimates in the Preparation of Financial Statements </w:t>
      </w:r>
    </w:p>
    <w:p>
      <w:pPr>
        <w:pStyle w:val="TextBody"/>
        <w:spacing w:before="90" w:after="0"/>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The Company bases estimates on various assumptions that are believed to be reasonable under the circumstances. The Company believes significant judgment was involved in estimating the fair value of assets acquired and liabilities assumed in the Merger, including in-process research and development, facility exit costs, clinical trial accruals, and in estimating other accrued liabilities, stock-based compensation, and income taxes. Additionally, significant estimates and judgment are required in the evaluation of in-process research and development for impairment. Management is continually evaluating and updating these estimates, and it is possible that these estimates will change in the future or that actual results may differ from these estimates. </w:t>
      </w:r>
    </w:p>
    <w:p>
      <w:pPr>
        <w:pStyle w:val="TextBody"/>
        <w:spacing w:before="270" w:after="0"/>
        <w:rPr>
          <w:rFonts w:ascii="Times New Roman" w:hAnsi="Times New Roman"/>
          <w:b/>
          <w:i/>
          <w:sz w:val="20"/>
        </w:rPr>
      </w:pPr>
      <w:r>
        <w:rPr>
          <w:rFonts w:ascii="Times New Roman" w:hAnsi="Times New Roman"/>
          <w:b/>
          <w:i/>
          <w:sz w:val="20"/>
        </w:rPr>
        <w:t xml:space="preserve">Cash Equivalents </w:t>
      </w:r>
    </w:p>
    <w:p>
      <w:pPr>
        <w:pStyle w:val="TextBody"/>
        <w:spacing w:before="90" w:after="0"/>
        <w:rPr>
          <w:rFonts w:ascii="Times New Roman" w:hAnsi="Times New Roman"/>
          <w:sz w:val="20"/>
        </w:rPr>
      </w:pPr>
      <w:r>
        <w:rPr>
          <w:rFonts w:ascii="Times New Roman" w:hAnsi="Times New Roman"/>
          <w:sz w:val="20"/>
        </w:rPr>
        <w:t xml:space="preserve">Cash equivalents generally consist of money market funds and debt securities with maturities of 90 days or less at the time of purchase. The Company invests its excess cash in securities with strong ratings and has established guidelines relative to diversification and maturity with the objective of maintaining safety of principal and liquidity.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classifies all cash equivalents as available-for-sale securities, and records investments at fair value. Unrealized holding gains and losses on available-for-sale securities, net of any tax effect, are excluded from earnings and are reported in accumulated other comprehensive income (loss), a separate component of stockholders equity, until realized. The specific identification method is utilized to calculate the cost to determine realized gains and losses from the sale of available-for-sale securities. Realized gains and losses are included in interest income in the consolidated statements of operations. </w:t>
      </w:r>
    </w:p>
    <w:p>
      <w:pPr>
        <w:pStyle w:val="TextBody"/>
        <w:spacing w:before="270" w:after="0"/>
        <w:rPr>
          <w:rFonts w:ascii="Times New Roman" w:hAnsi="Times New Roman"/>
          <w:b/>
          <w:i/>
          <w:sz w:val="20"/>
        </w:rPr>
      </w:pPr>
      <w:r>
        <w:rPr>
          <w:rFonts w:ascii="Times New Roman" w:hAnsi="Times New Roman"/>
          <w:b/>
          <w:i/>
          <w:sz w:val="20"/>
        </w:rPr>
        <w:t xml:space="preserve">Concentrations of Credit Risk </w:t>
      </w:r>
    </w:p>
    <w:p>
      <w:pPr>
        <w:pStyle w:val="TextBody"/>
        <w:spacing w:before="90" w:after="0"/>
        <w:rPr>
          <w:rFonts w:ascii="Times New Roman" w:hAnsi="Times New Roman"/>
          <w:sz w:val="20"/>
        </w:rPr>
      </w:pPr>
      <w:r>
        <w:rPr>
          <w:rFonts w:ascii="Times New Roman" w:hAnsi="Times New Roman"/>
          <w:sz w:val="20"/>
        </w:rPr>
        <w:t xml:space="preserve">Financial instruments that potentially subject the Company to significant concentrations of credit risk consist primarily of cash and cash equivalents and other receivables. The Company has no off-balance-sheet concentrations of credit risk, such as foreign exchange contracts, option contracts, or foreign currency hedging arrangements. The Company maintains cash and cash equivalent balances in the form of bank demand deposits, money market fund accounts and debt securities with financial institutions that management believes are creditworthy. Such balances may at times exceed the insured amount. </w:t>
      </w:r>
    </w:p>
    <w:p>
      <w:pPr>
        <w:pStyle w:val="TextBody"/>
        <w:spacing w:before="270" w:after="0"/>
        <w:rPr>
          <w:rFonts w:ascii="Times New Roman" w:hAnsi="Times New Roman"/>
          <w:b/>
          <w:i/>
          <w:sz w:val="20"/>
        </w:rPr>
      </w:pPr>
      <w:r>
        <w:rPr>
          <w:rFonts w:ascii="Times New Roman" w:hAnsi="Times New Roman"/>
          <w:b/>
          <w:i/>
          <w:sz w:val="20"/>
        </w:rPr>
        <w:t xml:space="preserve">Property and Equipment </w:t>
      </w:r>
    </w:p>
    <w:p>
      <w:pPr>
        <w:pStyle w:val="TextBody"/>
        <w:spacing w:before="90" w:after="0"/>
        <w:rPr>
          <w:rFonts w:ascii="Times New Roman" w:hAnsi="Times New Roman"/>
          <w:sz w:val="20"/>
        </w:rPr>
      </w:pPr>
      <w:r>
        <w:rPr>
          <w:rFonts w:ascii="Times New Roman" w:hAnsi="Times New Roman"/>
          <w:sz w:val="20"/>
        </w:rPr>
        <w:t xml:space="preserve">Property and equipment are stated at cost less accumulated depreciation and amortization. Cost includes expenditures for equipment, leasehold improvements, replacements, and renewals. Maintenance and repairs are charged to expense as incurred. When assets are sold, retired, or otherwise disposed of, the cost and accumulated depreciation are removed from the accounts and any resulting gain or loss is reflected in operations. The cost of property and equipment is depreciated using the straight-line method over the estimated useful lives of the related assets. Leasehold improvements are amortized over the shorter of the life of the lease or the estimated useful life of the assets. Property and equipment acquired in the Merger were recorded at the estimated fair value as of the date of the Merger, and are subsequently depreciated using the straight-line method over the estimated remaining useful lives of the related assets. </w:t>
      </w:r>
    </w:p>
    <w:p>
      <w:pPr>
        <w:pStyle w:val="TextBody"/>
        <w:spacing w:before="270" w:after="0"/>
        <w:rPr>
          <w:rFonts w:ascii="Times New Roman" w:hAnsi="Times New Roman"/>
          <w:b/>
          <w:i/>
          <w:sz w:val="20"/>
        </w:rPr>
      </w:pPr>
      <w:r>
        <w:rPr>
          <w:rFonts w:ascii="Times New Roman" w:hAnsi="Times New Roman"/>
          <w:b/>
          <w:i/>
          <w:sz w:val="20"/>
        </w:rPr>
        <w:t xml:space="preserve">Long-Lived Assets and Impairments </w:t>
      </w:r>
    </w:p>
    <w:p>
      <w:pPr>
        <w:pStyle w:val="TextBody"/>
        <w:spacing w:before="90" w:after="0"/>
        <w:rPr>
          <w:rFonts w:ascii="Times New Roman" w:hAnsi="Times New Roman"/>
          <w:sz w:val="20"/>
        </w:rPr>
      </w:pPr>
      <w:r>
        <w:rPr>
          <w:rFonts w:ascii="Times New Roman" w:hAnsi="Times New Roman"/>
          <w:sz w:val="20"/>
        </w:rPr>
        <w:t xml:space="preserve">The Company reviews long-lived assets whenever events or changes in circumstances indicate that the carrying value of such assets may not be recoverable. As a development stage company, the Company has not generated positive cash flows from operations, and such cash flows may not materialize for a significant period in the future, if ever. Additionally, the Company may make changes to its business plan that would result in changes to expected cash flows from long-lived assets. It is reasonably possible that future evaluations of long-lived assets, including changes from the Companys current expected use of long-lived assets, may result in material impairments. </w:t>
      </w:r>
    </w:p>
    <w:p>
      <w:pPr>
        <w:pStyle w:val="TextBody"/>
        <w:spacing w:before="270" w:after="0"/>
        <w:rPr>
          <w:rFonts w:ascii="Times New Roman" w:hAnsi="Times New Roman"/>
          <w:b/>
          <w:i/>
          <w:sz w:val="20"/>
        </w:rPr>
      </w:pPr>
      <w:r>
        <w:rPr>
          <w:rFonts w:ascii="Times New Roman" w:hAnsi="Times New Roman"/>
          <w:b/>
          <w:i/>
          <w:sz w:val="20"/>
        </w:rPr>
        <w:t xml:space="preserve">Accrued Expenses </w:t>
      </w:r>
    </w:p>
    <w:p>
      <w:pPr>
        <w:pStyle w:val="TextBody"/>
        <w:spacing w:before="90" w:after="0"/>
        <w:rPr>
          <w:rFonts w:ascii="Times New Roman" w:hAnsi="Times New Roman"/>
          <w:sz w:val="20"/>
        </w:rPr>
      </w:pPr>
      <w:r>
        <w:rPr>
          <w:rFonts w:ascii="Times New Roman" w:hAnsi="Times New Roman"/>
          <w:sz w:val="20"/>
        </w:rPr>
        <w:t xml:space="preserve">As part of the process of preparing its financial statements, the Company is required to estimate accrued expenses. This process involves identifying services that third parties have performed on the Companys behalf and estimating the level of service performed and the associated cost incurred for these services as of the balance sheet date. Examples of estimated accrued expenses include contract service fees, such as fees payable to contract manufacturers in connection with the production of materials related to the Companys drug product, and professional service fees, such as attorneys, consultants, and clinical research organizations. The Company develops estimates of liabilities using its judgment based upon the facts and circumstances known at the time. </w:t>
      </w:r>
    </w:p>
    <w:p>
      <w:pPr>
        <w:pStyle w:val="TextBody"/>
        <w:spacing w:before="270" w:after="0"/>
        <w:rPr>
          <w:rFonts w:ascii="Times New Roman" w:hAnsi="Times New Roman"/>
          <w:b/>
          <w:i/>
          <w:sz w:val="20"/>
        </w:rPr>
      </w:pPr>
      <w:r>
        <w:rPr>
          <w:rFonts w:ascii="Times New Roman" w:hAnsi="Times New Roman"/>
          <w:b/>
          <w:i/>
          <w:sz w:val="20"/>
        </w:rPr>
        <w:t xml:space="preserve">Segments </w:t>
      </w:r>
    </w:p>
    <w:p>
      <w:pPr>
        <w:pStyle w:val="TextBody"/>
        <w:spacing w:before="90" w:after="0"/>
        <w:rPr>
          <w:rFonts w:ascii="Times New Roman" w:hAnsi="Times New Roman"/>
          <w:sz w:val="20"/>
        </w:rPr>
      </w:pPr>
      <w:r>
        <w:rPr>
          <w:rFonts w:ascii="Times New Roman" w:hAnsi="Times New Roman"/>
          <w:sz w:val="20"/>
        </w:rPr>
        <w:t xml:space="preserve">The Company operates in one segment. Management uses one measure of profitability and does not segment its business for internal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Research and Development </w:t>
      </w:r>
    </w:p>
    <w:p>
      <w:pPr>
        <w:pStyle w:val="TextBody"/>
        <w:spacing w:before="90" w:after="0"/>
        <w:rPr>
          <w:rFonts w:ascii="Times New Roman" w:hAnsi="Times New Roman"/>
          <w:sz w:val="20"/>
        </w:rPr>
      </w:pPr>
      <w:r>
        <w:rPr>
          <w:rFonts w:ascii="Times New Roman" w:hAnsi="Times New Roman"/>
          <w:sz w:val="20"/>
        </w:rPr>
        <w:t xml:space="preserve">Research and development costs are expensed as incurred. These consist primarily of salaries, contract services, and supplies. </w:t>
      </w:r>
    </w:p>
    <w:p>
      <w:pPr>
        <w:pStyle w:val="TextBody"/>
        <w:spacing w:before="180" w:after="0"/>
        <w:rPr>
          <w:rFonts w:ascii="Times New Roman" w:hAnsi="Times New Roman"/>
          <w:sz w:val="20"/>
        </w:rPr>
      </w:pPr>
      <w:r>
        <w:rPr>
          <w:rFonts w:ascii="Times New Roman" w:hAnsi="Times New Roman"/>
          <w:sz w:val="20"/>
        </w:rPr>
        <w:t xml:space="preserve">Costs related to clinical trial and drug manufacturing activities are based upon estimates of the services received and related expenses incurred by contract research organizations, or CROs, clinical study sites, drug manufacturers, collaboration partners, laboratories, consultants, or otherwise. Related contracts vary significantly in length, and could be for a fixed amount, a variable amount based on actual costs incurred, capped at a certain limit, or for a combination of these elements. Activity levels are monitored through communications with the vendors, including detailed invoices and task completion review, analysis of expenses against budgeted amounts, and pre-approval of any changes in scope of the services to be performed. Certain significant vendors may also provide an estimate of costs incurred but not invoiced on a periodic basis. Expenses related to the CROs and clinical studies are primarily based on progress made against specified milestones or targets in each period. </w:t>
      </w:r>
    </w:p>
    <w:p>
      <w:pPr>
        <w:pStyle w:val="TextBody"/>
        <w:spacing w:before="270" w:after="0"/>
        <w:rPr>
          <w:rFonts w:ascii="Times New Roman" w:hAnsi="Times New Roman"/>
          <w:b/>
          <w:i/>
          <w:sz w:val="20"/>
        </w:rPr>
      </w:pPr>
      <w:r>
        <w:rPr>
          <w:rFonts w:ascii="Times New Roman" w:hAnsi="Times New Roman"/>
          <w:b/>
          <w:i/>
          <w:sz w:val="20"/>
        </w:rPr>
        <w:t xml:space="preserve">Stock-Based Compensation </w:t>
      </w:r>
    </w:p>
    <w:p>
      <w:pPr>
        <w:pStyle w:val="TextBody"/>
        <w:spacing w:before="90" w:after="0"/>
        <w:rPr>
          <w:rFonts w:ascii="Times New Roman" w:hAnsi="Times New Roman"/>
          <w:sz w:val="20"/>
        </w:rPr>
      </w:pPr>
      <w:r>
        <w:rPr>
          <w:rFonts w:ascii="Times New Roman" w:hAnsi="Times New Roman"/>
          <w:sz w:val="20"/>
        </w:rPr>
        <w:t xml:space="preserve">The Companys stock-based compensation cost recognized includes: (a) compensation costs for current period vesting of all share-based awards granted prior to January 1, 2006, based on the intrinsic value method, and (b) compensation cost for current period vesting of all share-based awards granted or modified subsequent to January 1, 2006, based on the estimated grant date fair value. The Company recognizes compensation costs for its share-based awards on a straight-line basis over the requisite service period for the entire award, as adjusted for expected forfeitures. </w:t>
      </w:r>
    </w:p>
    <w:p>
      <w:pPr>
        <w:pStyle w:val="TextBody"/>
        <w:spacing w:before="180" w:after="0"/>
        <w:rPr>
          <w:rFonts w:ascii="Times New Roman" w:hAnsi="Times New Roman"/>
          <w:sz w:val="20"/>
        </w:rPr>
      </w:pPr>
      <w:r>
        <w:rPr>
          <w:rFonts w:ascii="Times New Roman" w:hAnsi="Times New Roman"/>
          <w:sz w:val="20"/>
        </w:rPr>
        <w:t xml:space="preserve">From Inception through December 31, 2005, the Company accounted for issuances of stock-based compensation under the intrinsic-value-based method of accounting. Under this method, compensation expense is generally recorded on the date of grant only if the estimated fair value of the underlying stock exceeds the exercise price. </w:t>
      </w:r>
    </w:p>
    <w:p>
      <w:pPr>
        <w:pStyle w:val="TextBody"/>
        <w:spacing w:before="270" w:after="0"/>
        <w:rPr>
          <w:rFonts w:ascii="Times New Roman" w:hAnsi="Times New Roman"/>
          <w:b/>
          <w:i/>
          <w:sz w:val="20"/>
        </w:rPr>
      </w:pPr>
      <w:r>
        <w:rPr>
          <w:rFonts w:ascii="Times New Roman" w:hAnsi="Times New Roman"/>
          <w:b/>
          <w:i/>
          <w:sz w:val="20"/>
        </w:rPr>
        <w:t xml:space="preserve">Income Taxes </w:t>
      </w:r>
    </w:p>
    <w:p>
      <w:pPr>
        <w:pStyle w:val="TextBody"/>
        <w:spacing w:before="90" w:after="0"/>
        <w:rPr>
          <w:rFonts w:ascii="Times New Roman" w:hAnsi="Times New Roman"/>
          <w:sz w:val="20"/>
        </w:rPr>
      </w:pPr>
      <w:r>
        <w:rPr>
          <w:rFonts w:ascii="Times New Roman" w:hAnsi="Times New Roman"/>
          <w:sz w:val="20"/>
        </w:rPr>
        <w:t xml:space="preserve">The current provision for income taxes represents actual or estimated amounts payable or refundable on tax returns filed or to be filed each year.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The effect on deferred tax assets and liabilities of a change in tax rates is recognized in the period that includes the enactment date. The overall change in deferred tax assets and liabilities for the period measures the deferred tax expense or benefit for the period. The measurement of deferred tax assets may be reduced by a valuation allowance based on judgmental assessment of available evidence if deemed more likely than not that some or all of the deferred tax assets will not be realized. The Company has recorded a valuation allowance against its deferred tax assets, as management has concluded that it is more likely than not that the net deferred tax asset will not be realized through future taxable income, based primarily on the Companys history of operating losses. As a result of the Merger, a change of ownership of Nuvelo per Internal Revenue Code Section 382 occurred, and accordingly, the Companys ability to utilize Nuvelos pre-Merger net operating loss carryforwards has been substantially reduced. </w:t>
      </w:r>
    </w:p>
    <w:p>
      <w:pPr>
        <w:pStyle w:val="TextBody"/>
        <w:spacing w:before="270" w:after="0"/>
        <w:rPr>
          <w:rFonts w:ascii="Times New Roman" w:hAnsi="Times New Roman"/>
          <w:b/>
          <w:sz w:val="20"/>
        </w:rPr>
      </w:pPr>
      <w:r>
        <w:rPr>
          <w:rFonts w:ascii="Times New Roman" w:hAnsi="Times New Roman"/>
          <w:b/>
          <w:sz w:val="20"/>
        </w:rPr>
        <w:t xml:space="preserve">(2) Earnings (Loss) Per Share </w:t>
      </w:r>
    </w:p>
    <w:p>
      <w:pPr>
        <w:pStyle w:val="TextBody"/>
        <w:spacing w:before="90" w:after="0"/>
        <w:rPr>
          <w:rFonts w:ascii="Times New Roman" w:hAnsi="Times New Roman"/>
          <w:sz w:val="20"/>
        </w:rPr>
      </w:pPr>
      <w:r>
        <w:rPr>
          <w:rFonts w:ascii="Times New Roman" w:hAnsi="Times New Roman"/>
          <w:sz w:val="20"/>
        </w:rPr>
        <w:t xml:space="preserve">The Company calculates basic earnings per share by dividing (loss) earnings attributable to common stockholders by the weighted average common shares outstanding during the period, excluding common stock subject to vesting provisions. Diluted earnings per share is computed by dividing (loss) attributable to common stockholders by the weighted average number of common shares outstanding during the period increased to include, if dilutive, the number of additional common shares that would have been outstanding if the potential common shares had been issued. The Companys potentially dilutive shares include options and warrants.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reconciliation of the numerator and denominator used in the calculation of basic and diluted loss per share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69"/>
        <w:gridCol w:w="603"/>
        <w:gridCol w:w="125"/>
        <w:gridCol w:w="1012"/>
        <w:gridCol w:w="125"/>
        <w:gridCol w:w="557"/>
        <w:gridCol w:w="125"/>
        <w:gridCol w:w="860"/>
        <w:gridCol w:w="129"/>
      </w:tblGrid>
      <w:tr>
        <w:trPr/>
        <w:tc>
          <w:tcPr>
            <w:tcW w:w="666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669"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pPr>
            <w:r>
              <w:rPr/>
              <w:t>  </w:t>
            </w:r>
          </w:p>
        </w:tc>
        <w:tc>
          <w:tcPr>
            <w:tcW w:w="280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c>
          <w:tcPr>
            <w:tcW w:w="129" w:type="dxa"/>
            <w:tcBorders/>
            <w:shd w:fill="auto"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 thousands, except shares and per share data)</w:t>
            </w:r>
          </w:p>
        </w:tc>
        <w:tc>
          <w:tcPr>
            <w:tcW w:w="603"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9" w:type="dxa"/>
            <w:tcBorders/>
            <w:shd w:fill="auto" w:val="clear"/>
            <w:vAlign w:val="bottom"/>
          </w:tcPr>
          <w:p>
            <w:pPr>
              <w:pStyle w:val="TableContents"/>
              <w:spacing w:before="0" w:after="283"/>
              <w:rPr/>
            </w:pPr>
            <w:r>
              <w:rPr/>
              <w:t> </w:t>
            </w:r>
          </w:p>
        </w:tc>
      </w:tr>
      <w:tr>
        <w:trPr/>
        <w:tc>
          <w:tcPr>
            <w:tcW w:w="6669"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w:t>
            </w:r>
          </w:p>
        </w:tc>
        <w:tc>
          <w:tcPr>
            <w:tcW w:w="6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9"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1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69" w:type="dxa"/>
            <w:tcBorders/>
            <w:shd w:fill="auto" w:val="clear"/>
          </w:tcPr>
          <w:p>
            <w:pPr>
              <w:pStyle w:val="TableContents"/>
              <w:spacing w:before="0" w:after="283"/>
              <w:rPr>
                <w:rFonts w:ascii="Times New Roman" w:hAnsi="Times New Roman"/>
                <w:sz w:val="20"/>
              </w:rPr>
            </w:pPr>
            <w:r>
              <w:rPr>
                <w:rFonts w:ascii="Times New Roman" w:hAnsi="Times New Roman"/>
                <w:sz w:val="20"/>
              </w:rPr>
              <w:t>Net loss available to common shareholders</w:t>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9"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1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69"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of common stock outstanding</w:t>
            </w:r>
          </w:p>
        </w:tc>
        <w:tc>
          <w:tcPr>
            <w:tcW w:w="6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10,054,941</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8,523,018</w:t>
            </w:r>
          </w:p>
        </w:tc>
        <w:tc>
          <w:tcPr>
            <w:tcW w:w="129" w:type="dxa"/>
            <w:tcBorders/>
            <w:shd w:fill="CCEEFF" w:val="clear"/>
            <w:vAlign w:val="bottom"/>
          </w:tcPr>
          <w:p>
            <w:pPr>
              <w:pStyle w:val="TableContents"/>
              <w:spacing w:before="0" w:after="283"/>
              <w:rPr/>
            </w:pPr>
            <w:r>
              <w:rPr/>
              <w:t>  </w:t>
            </w:r>
          </w:p>
        </w:tc>
      </w:tr>
      <w:tr>
        <w:trPr/>
        <w:tc>
          <w:tcPr>
            <w:tcW w:w="6669" w:type="dxa"/>
            <w:tcBorders/>
            <w:shd w:fill="auto" w:val="clear"/>
          </w:tcPr>
          <w:p>
            <w:pPr>
              <w:pStyle w:val="TableContents"/>
              <w:spacing w:before="0" w:after="283"/>
              <w:rPr>
                <w:rFonts w:ascii="Times New Roman" w:hAnsi="Times New Roman"/>
                <w:sz w:val="20"/>
              </w:rPr>
            </w:pPr>
            <w:r>
              <w:rPr>
                <w:rFonts w:ascii="Times New Roman" w:hAnsi="Times New Roman"/>
                <w:sz w:val="20"/>
              </w:rPr>
              <w:t>Less: Weighted-average shares of unvested common stock</w:t>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(16,698</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9"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1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69" w:type="dxa"/>
            <w:vMerge w:val="restart"/>
            <w:tcBorders/>
            <w:shd w:fill="CCEEFF" w:val="clear"/>
          </w:tcPr>
          <w:p>
            <w:pPr>
              <w:pStyle w:val="TableContents"/>
              <w:spacing w:before="0" w:after="283"/>
              <w:rPr>
                <w:rFonts w:ascii="Times New Roman" w:hAnsi="Times New Roman"/>
                <w:sz w:val="20"/>
              </w:rPr>
            </w:pPr>
            <w:r>
              <w:rPr>
                <w:rFonts w:ascii="Times New Roman" w:hAnsi="Times New Roman"/>
                <w:sz w:val="20"/>
              </w:rPr>
              <w:t>Total weighted-average shares used in computing net loss per share attributed to common stockholders</w:t>
            </w:r>
          </w:p>
        </w:tc>
        <w:tc>
          <w:tcPr>
            <w:tcW w:w="6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1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5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69" w:type="dxa"/>
            <w:vMerge w:val="continue"/>
            <w:tcBorders/>
            <w:shd w:fill="auto" w:val="clear"/>
          </w:tcPr>
          <w:p>
            <w:pPr>
              <w:pStyle w:val="Normal"/>
              <w:rPr/>
            </w:pPr>
            <w:r>
              <w:rPr/>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10,038,243</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8,506,320</w:t>
            </w:r>
          </w:p>
        </w:tc>
        <w:tc>
          <w:tcPr>
            <w:tcW w:w="129" w:type="dxa"/>
            <w:tcBorders/>
            <w:shd w:fill="auto" w:val="clear"/>
            <w:vAlign w:val="bottom"/>
          </w:tcPr>
          <w:p>
            <w:pPr>
              <w:pStyle w:val="TableContents"/>
              <w:spacing w:before="0" w:after="283"/>
              <w:rPr/>
            </w:pPr>
            <w:r>
              <w:rPr/>
              <w:t>  </w:t>
            </w:r>
          </w:p>
        </w:tc>
      </w:tr>
      <w:tr>
        <w:trPr/>
        <w:tc>
          <w:tcPr>
            <w:tcW w:w="6669"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1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69"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loss per share</w:t>
            </w:r>
          </w:p>
        </w:tc>
        <w:tc>
          <w:tcPr>
            <w:tcW w:w="6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9"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01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5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0"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Potentially dilutive securities representing 2.1 million and 1.3 million weighted average shares of common stock were excluded for the years ended December 31, 2011 and 2010, respectively, because including them would have an anti-dilutive effect on net loss attributable to common stockholders per share. </w:t>
      </w:r>
    </w:p>
    <w:p>
      <w:pPr>
        <w:pStyle w:val="TextBody"/>
        <w:spacing w:before="270" w:after="0"/>
        <w:rPr>
          <w:rFonts w:ascii="Times New Roman" w:hAnsi="Times New Roman"/>
          <w:b/>
          <w:sz w:val="20"/>
        </w:rPr>
      </w:pPr>
      <w:r>
        <w:rPr>
          <w:rFonts w:ascii="Times New Roman" w:hAnsi="Times New Roman"/>
          <w:b/>
          <w:sz w:val="20"/>
        </w:rPr>
        <w:t xml:space="preserve">(3) Merger with Nuvelo, Inc. on January 27, 2009 </w:t>
      </w:r>
    </w:p>
    <w:p>
      <w:pPr>
        <w:pStyle w:val="TextBody"/>
        <w:spacing w:before="90" w:after="0"/>
        <w:rPr>
          <w:rFonts w:ascii="Times New Roman" w:hAnsi="Times New Roman"/>
          <w:sz w:val="20"/>
        </w:rPr>
      </w:pPr>
      <w:r>
        <w:rPr>
          <w:rFonts w:ascii="Times New Roman" w:hAnsi="Times New Roman"/>
          <w:sz w:val="20"/>
        </w:rPr>
        <w:t xml:space="preserve">On January 27, 2009, the Company completed the Merger, with ARCA Colorado in accordance with the terms of the Merger Agreement, in which a wholly-owned subsidiary of Nuvelo merged with and into ARCA Colorado, with ARCA Colorado continuing after the Merger as the surviving corporation and a wholly-owned subsidiary of Nuvelo. Immediately following the Merger, the Company changed its name from Nuvelo, Inc. to ARCA biopharma, Inc., and its common stock began trading on the Nasdaq Global Market under the symbol ABIO on January 28, 2009. On March 7, 2011, the listing of the Companys common stock was transferred from the Nasdaq Global Market to the Nasdaq Capital Market. </w:t>
      </w:r>
    </w:p>
    <w:p>
      <w:pPr>
        <w:pStyle w:val="TextBody"/>
        <w:spacing w:before="180" w:after="0"/>
        <w:rPr>
          <w:rFonts w:ascii="Times New Roman" w:hAnsi="Times New Roman"/>
          <w:sz w:val="20"/>
        </w:rPr>
      </w:pPr>
      <w:r>
        <w:rPr>
          <w:rFonts w:ascii="Times New Roman" w:hAnsi="Times New Roman"/>
          <w:sz w:val="20"/>
        </w:rPr>
        <w:t xml:space="preserve">The Merger was treated as a reverse merger and accounted for as a business combination using the acquisition method of accounting in accordance with ASC 805. For accounting purposes, ARCA Colorado was considered to have acquired Nuvelo in the Merger, as the stockholders of ARCA Colorado prior to the Merger had a controlling interest in the combined company and the Companys management is the former management of ARCA Colorado. Pursuant to the rules and regulations of the United States Securities and Exchange Commission, or the SEC, the historical financial statements of ARCA Colorado replaced the historical financial statements of Nuvelo, and the disclosures in this report relating to the pre-Merger business of the Company, unless noted as being the business of Nuvelo prior to the Merger, pertain to the business of ARCA Colorado prior to the Merger. </w:t>
      </w:r>
    </w:p>
    <w:p>
      <w:pPr>
        <w:pStyle w:val="TextBody"/>
        <w:spacing w:before="180" w:after="0"/>
        <w:rPr>
          <w:rFonts w:ascii="Times New Roman" w:hAnsi="Times New Roman"/>
          <w:sz w:val="20"/>
        </w:rPr>
      </w:pPr>
      <w:r>
        <w:rPr>
          <w:rFonts w:ascii="Times New Roman" w:hAnsi="Times New Roman"/>
          <w:sz w:val="20"/>
        </w:rPr>
        <w:t xml:space="preserve">The estimated total acquisition consideration of $11.9 million to acquire Nuvelo was based on the market capitalization of Nuvelo as of January 27, 2009 and the estimated fair values of its vested stock options and warrants outstanding on that date, as this was deemed the most reliable measure of the consideration effectively transferred to acquire Nuvelo on that date. The Company estimated the net assets acquired in the Merger to be $37.2 million, including $45.5 million of cash, cash equivalents and marketable securities. In accordance with ASC 805, any excess of fair value of net assets acquired in a business combination over the acquisition consideration results in a gain on bargain purchase, and as a result, the Company recorded a gain on bargain purchase of $25.3 million. </w:t>
      </w:r>
    </w:p>
    <w:p>
      <w:pPr>
        <w:pStyle w:val="TextBody"/>
        <w:spacing w:before="270" w:after="0"/>
        <w:rPr>
          <w:rFonts w:ascii="Times New Roman" w:hAnsi="Times New Roman"/>
          <w:b/>
          <w:sz w:val="20"/>
        </w:rPr>
      </w:pPr>
      <w:r>
        <w:rPr>
          <w:rFonts w:ascii="Times New Roman" w:hAnsi="Times New Roman"/>
          <w:b/>
          <w:sz w:val="20"/>
        </w:rPr>
        <w:t xml:space="preserve">(4) Financial Instruments </w:t>
      </w:r>
    </w:p>
    <w:p>
      <w:pPr>
        <w:pStyle w:val="TextBody"/>
        <w:spacing w:before="90" w:after="0"/>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in an orderly transaction between market participants at the measurement date (exit price). Inputs used to measure fair value are classified into the following hierarchy: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Level 1Unadjusted quoted prices in active markets for identical assets or liabilities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Level 2Unadjusted quoted prices in active markets for similar assets or liabilities; unadjusted quoted prices for identical or similar assets or liabilities in markets that are not active; or inputs other than quoted prices that are observable for the asset or liability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Level 3Unobservable inputs for the asset or liability </w:t>
            </w:r>
          </w:p>
        </w:tc>
      </w:tr>
    </w:tbl>
    <w:p>
      <w:pPr>
        <w:pStyle w:val="TextBody"/>
        <w:spacing w:before="180" w:after="0"/>
        <w:rPr>
          <w:rFonts w:ascii="Times New Roman" w:hAnsi="Times New Roman"/>
          <w:sz w:val="20"/>
        </w:rPr>
      </w:pPr>
      <w:r>
        <w:rPr>
          <w:rFonts w:ascii="Times New Roman" w:hAnsi="Times New Roman"/>
          <w:sz w:val="20"/>
        </w:rPr>
        <w:t xml:space="preserve">The Companys financial assets include $5.9 million at December 31, 2011 and $7.0 million at December 31, 2010, in money market funds, classified as cash equivalents, which are measured at fair value based on Level 1 inputs on a recurring basis. There were no transfers between any fair value hierarchy levels in 2011 or 2010. </w:t>
      </w:r>
    </w:p>
    <w:p>
      <w:pPr>
        <w:pStyle w:val="TextBody"/>
        <w:spacing w:before="270" w:after="0"/>
        <w:rPr>
          <w:rFonts w:ascii="Times New Roman" w:hAnsi="Times New Roman"/>
          <w:b/>
          <w:i/>
          <w:sz w:val="20"/>
        </w:rPr>
      </w:pPr>
      <w:r>
        <w:rPr>
          <w:rFonts w:ascii="Times New Roman" w:hAnsi="Times New Roman"/>
          <w:b/>
          <w:i/>
          <w:sz w:val="20"/>
        </w:rPr>
        <w:t xml:space="preserve">Fair Value of Other Financial Instruments </w:t>
      </w:r>
    </w:p>
    <w:p>
      <w:pPr>
        <w:pStyle w:val="TextBody"/>
        <w:spacing w:before="90" w:after="0"/>
        <w:rPr>
          <w:rFonts w:ascii="Times New Roman" w:hAnsi="Times New Roman"/>
          <w:sz w:val="20"/>
        </w:rPr>
      </w:pPr>
      <w:r>
        <w:rPr>
          <w:rFonts w:ascii="Times New Roman" w:hAnsi="Times New Roman"/>
          <w:sz w:val="20"/>
        </w:rPr>
        <w:t xml:space="preserve">The carrying amount of other financial instruments, including cash and accounts payable, approximated fair value due to their short maturities. As of December 31, 2011 and 2010, the Company did not have any debt outstanding. </w:t>
      </w:r>
    </w:p>
    <w:p>
      <w:pPr>
        <w:pStyle w:val="TextBody"/>
        <w:spacing w:before="270" w:after="0"/>
        <w:rPr>
          <w:rFonts w:ascii="Times New Roman" w:hAnsi="Times New Roman"/>
          <w:b/>
          <w:sz w:val="20"/>
        </w:rPr>
      </w:pPr>
      <w:r>
        <w:rPr>
          <w:rFonts w:ascii="Times New Roman" w:hAnsi="Times New Roman"/>
          <w:b/>
          <w:sz w:val="20"/>
        </w:rPr>
        <w:t xml:space="preserve">(5) Property and Equipment </w:t>
      </w:r>
    </w:p>
    <w:p>
      <w:pPr>
        <w:pStyle w:val="TextBody"/>
        <w:spacing w:before="90" w:after="0"/>
        <w:rPr>
          <w:rFonts w:ascii="Times New Roman" w:hAnsi="Times New Roman"/>
          <w:sz w:val="20"/>
        </w:rPr>
      </w:pPr>
      <w:r>
        <w:rPr>
          <w:rFonts w:ascii="Times New Roman" w:hAnsi="Times New Roman"/>
          <w:sz w:val="20"/>
        </w:rPr>
        <w:t xml:space="preserve">Property and equipment consist of the following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299"/>
        <w:gridCol w:w="497"/>
        <w:gridCol w:w="3501"/>
        <w:gridCol w:w="497"/>
        <w:gridCol w:w="192"/>
        <w:gridCol w:w="659"/>
        <w:gridCol w:w="125"/>
        <w:gridCol w:w="455"/>
        <w:gridCol w:w="172"/>
        <w:gridCol w:w="679"/>
        <w:gridCol w:w="129"/>
      </w:tblGrid>
      <w:tr>
        <w:trPr/>
        <w:tc>
          <w:tcPr>
            <w:tcW w:w="329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350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329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350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Estimated Life</w:t>
            </w:r>
          </w:p>
        </w:tc>
        <w:tc>
          <w:tcPr>
            <w:tcW w:w="497"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2011</w:t>
            </w:r>
          </w:p>
        </w:tc>
        <w:tc>
          <w:tcPr>
            <w:tcW w:w="12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2010</w:t>
            </w:r>
          </w:p>
        </w:tc>
        <w:tc>
          <w:tcPr>
            <w:tcW w:w="129" w:type="dxa"/>
            <w:tcBorders/>
            <w:shd w:fill="auto" w:val="clear"/>
            <w:vAlign w:val="bottom"/>
          </w:tcPr>
          <w:p>
            <w:pPr>
              <w:pStyle w:val="TableContents"/>
              <w:spacing w:before="0" w:after="283"/>
              <w:rPr/>
            </w:pPr>
            <w:r>
              <w:rPr/>
              <w:t> </w:t>
            </w:r>
          </w:p>
        </w:tc>
      </w:tr>
      <w:tr>
        <w:trPr/>
        <w:tc>
          <w:tcPr>
            <w:tcW w:w="3299" w:type="dxa"/>
            <w:tcBorders/>
            <w:shd w:fill="CCEEFF" w:val="clear"/>
          </w:tcPr>
          <w:p>
            <w:pPr>
              <w:pStyle w:val="TableContents"/>
              <w:spacing w:before="0" w:after="283"/>
              <w:rPr>
                <w:rFonts w:ascii="Times New Roman" w:hAnsi="Times New Roman"/>
                <w:sz w:val="20"/>
              </w:rPr>
            </w:pPr>
            <w:r>
              <w:rPr>
                <w:rFonts w:ascii="Times New Roman" w:hAnsi="Times New Roman"/>
                <w:sz w:val="20"/>
              </w:rPr>
              <w:t>Computer equipment</w:t>
            </w:r>
          </w:p>
        </w:tc>
        <w:tc>
          <w:tcPr>
            <w:tcW w:w="497" w:type="dxa"/>
            <w:tcBorders/>
            <w:shd w:fill="CCEEFF" w:val="clear"/>
            <w:vAlign w:val="bottom"/>
          </w:tcPr>
          <w:p>
            <w:pPr>
              <w:pStyle w:val="TableContents"/>
              <w:spacing w:before="0" w:after="283"/>
              <w:rPr/>
            </w:pPr>
            <w:r>
              <w:rPr/>
              <w:t>  </w:t>
            </w:r>
          </w:p>
        </w:tc>
        <w:tc>
          <w:tcPr>
            <w:tcW w:w="350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 years</w:t>
            </w:r>
          </w:p>
        </w:tc>
        <w:tc>
          <w:tcPr>
            <w:tcW w:w="497"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9" w:type="dxa"/>
            <w:tcBorders/>
            <w:shd w:fill="CCEEFF" w:val="clear"/>
            <w:vAlign w:val="bottom"/>
          </w:tcPr>
          <w:p>
            <w:pPr>
              <w:pStyle w:val="TableContents"/>
              <w:spacing w:before="0" w:after="283"/>
              <w:rPr/>
            </w:pPr>
            <w:r>
              <w:rPr/>
              <w:t>  </w:t>
            </w:r>
          </w:p>
        </w:tc>
      </w:tr>
      <w:tr>
        <w:trPr/>
        <w:tc>
          <w:tcPr>
            <w:tcW w:w="3299" w:type="dxa"/>
            <w:tcBorders/>
            <w:shd w:fill="auto" w:val="clear"/>
          </w:tcPr>
          <w:p>
            <w:pPr>
              <w:pStyle w:val="TableContents"/>
              <w:spacing w:before="0" w:after="283"/>
              <w:rPr>
                <w:rFonts w:ascii="Times New Roman" w:hAnsi="Times New Roman"/>
                <w:sz w:val="20"/>
              </w:rPr>
            </w:pPr>
            <w:r>
              <w:rPr>
                <w:rFonts w:ascii="Times New Roman" w:hAnsi="Times New Roman"/>
                <w:sz w:val="20"/>
              </w:rPr>
              <w:t>Lab equipment</w:t>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 years</w:t>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9" w:type="dxa"/>
            <w:tcBorders/>
            <w:shd w:fill="auto" w:val="clear"/>
            <w:vAlign w:val="bottom"/>
          </w:tcPr>
          <w:p>
            <w:pPr>
              <w:pStyle w:val="TableContents"/>
              <w:spacing w:before="0" w:after="283"/>
              <w:rPr/>
            </w:pPr>
            <w:r>
              <w:rPr/>
              <w:t>  </w:t>
            </w:r>
          </w:p>
        </w:tc>
      </w:tr>
      <w:tr>
        <w:trPr/>
        <w:tc>
          <w:tcPr>
            <w:tcW w:w="3299" w:type="dxa"/>
            <w:tcBorders/>
            <w:shd w:fill="CCEEFF" w:val="clear"/>
          </w:tcPr>
          <w:p>
            <w:pPr>
              <w:pStyle w:val="TableContents"/>
              <w:spacing w:before="0" w:after="283"/>
              <w:rPr>
                <w:rFonts w:ascii="Times New Roman" w:hAnsi="Times New Roman"/>
                <w:sz w:val="20"/>
              </w:rPr>
            </w:pPr>
            <w:r>
              <w:rPr>
                <w:rFonts w:ascii="Times New Roman" w:hAnsi="Times New Roman"/>
                <w:sz w:val="20"/>
              </w:rPr>
              <w:t>Furniture and fixtures</w:t>
            </w:r>
          </w:p>
        </w:tc>
        <w:tc>
          <w:tcPr>
            <w:tcW w:w="497" w:type="dxa"/>
            <w:tcBorders/>
            <w:shd w:fill="CCEEFF" w:val="clear"/>
            <w:vAlign w:val="bottom"/>
          </w:tcPr>
          <w:p>
            <w:pPr>
              <w:pStyle w:val="TableContents"/>
              <w:spacing w:before="0" w:after="283"/>
              <w:rPr/>
            </w:pPr>
            <w:r>
              <w:rPr/>
              <w:t>  </w:t>
            </w:r>
          </w:p>
        </w:tc>
        <w:tc>
          <w:tcPr>
            <w:tcW w:w="350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5 years</w:t>
            </w:r>
          </w:p>
        </w:tc>
        <w:tc>
          <w:tcPr>
            <w:tcW w:w="497"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5"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29" w:type="dxa"/>
            <w:tcBorders/>
            <w:shd w:fill="CCEEFF" w:val="clear"/>
            <w:vAlign w:val="bottom"/>
          </w:tcPr>
          <w:p>
            <w:pPr>
              <w:pStyle w:val="TableContents"/>
              <w:spacing w:before="0" w:after="283"/>
              <w:rPr/>
            </w:pPr>
            <w:r>
              <w:rPr/>
              <w:t>  </w:t>
            </w:r>
          </w:p>
        </w:tc>
      </w:tr>
      <w:tr>
        <w:trPr/>
        <w:tc>
          <w:tcPr>
            <w:tcW w:w="3299" w:type="dxa"/>
            <w:tcBorders/>
            <w:shd w:fill="auto" w:val="clear"/>
          </w:tcPr>
          <w:p>
            <w:pPr>
              <w:pStyle w:val="TableContents"/>
              <w:spacing w:before="0" w:after="283"/>
              <w:rPr>
                <w:rFonts w:ascii="Times New Roman" w:hAnsi="Times New Roman"/>
                <w:sz w:val="20"/>
              </w:rPr>
            </w:pPr>
            <w:r>
              <w:rPr>
                <w:rFonts w:ascii="Times New Roman" w:hAnsi="Times New Roman"/>
                <w:sz w:val="20"/>
              </w:rPr>
              <w:t>Computer software</w:t>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 years</w:t>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2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29" w:type="dxa"/>
            <w:tcBorders/>
            <w:shd w:fill="auto" w:val="clear"/>
            <w:vAlign w:val="bottom"/>
          </w:tcPr>
          <w:p>
            <w:pPr>
              <w:pStyle w:val="TableContents"/>
              <w:spacing w:before="0" w:after="283"/>
              <w:rPr/>
            </w:pPr>
            <w:r>
              <w:rPr/>
              <w:t>  </w:t>
            </w:r>
          </w:p>
        </w:tc>
      </w:tr>
      <w:tr>
        <w:trPr/>
        <w:tc>
          <w:tcPr>
            <w:tcW w:w="3299" w:type="dxa"/>
            <w:tcBorders/>
            <w:shd w:fill="CCEEFF" w:val="clear"/>
          </w:tcPr>
          <w:p>
            <w:pPr>
              <w:pStyle w:val="TableContents"/>
              <w:spacing w:before="0" w:after="283"/>
              <w:rPr>
                <w:rFonts w:ascii="Times New Roman" w:hAnsi="Times New Roman"/>
                <w:sz w:val="20"/>
              </w:rPr>
            </w:pPr>
            <w:r>
              <w:rPr>
                <w:rFonts w:ascii="Times New Roman" w:hAnsi="Times New Roman"/>
                <w:sz w:val="20"/>
              </w:rPr>
              <w:t>Leasehold improvements</w:t>
            </w:r>
          </w:p>
        </w:tc>
        <w:tc>
          <w:tcPr>
            <w:tcW w:w="497" w:type="dxa"/>
            <w:tcBorders/>
            <w:shd w:fill="CCEEFF" w:val="clear"/>
            <w:vAlign w:val="bottom"/>
          </w:tcPr>
          <w:p>
            <w:pPr>
              <w:pStyle w:val="TableContents"/>
              <w:spacing w:before="0" w:after="283"/>
              <w:rPr/>
            </w:pPr>
            <w:r>
              <w:rPr/>
              <w:t>  </w:t>
            </w:r>
          </w:p>
        </w:tc>
        <w:tc>
          <w:tcPr>
            <w:tcW w:w="350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Lesser of useful life or life of the lease</w:t>
            </w:r>
          </w:p>
        </w:tc>
        <w:tc>
          <w:tcPr>
            <w:tcW w:w="497"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744</w:t>
            </w:r>
          </w:p>
        </w:tc>
        <w:tc>
          <w:tcPr>
            <w:tcW w:w="129" w:type="dxa"/>
            <w:tcBorders/>
            <w:shd w:fill="CCEEFF" w:val="clear"/>
            <w:vAlign w:val="bottom"/>
          </w:tcPr>
          <w:p>
            <w:pPr>
              <w:pStyle w:val="TableContents"/>
              <w:spacing w:before="0" w:after="283"/>
              <w:rPr/>
            </w:pPr>
            <w:r>
              <w:rPr/>
              <w:t>  </w:t>
            </w:r>
          </w:p>
        </w:tc>
      </w:tr>
      <w:tr>
        <w:trPr/>
        <w:tc>
          <w:tcPr>
            <w:tcW w:w="3299"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pBdr>
                <w:top w:val="single" w:sz="2" w:space="1" w:color="000000"/>
              </w:pBdr>
              <w:spacing w:before="0" w:after="283"/>
              <w:rPr/>
            </w:pPr>
            <w:r>
              <w:rPr/>
              <w:t> </w:t>
            </w:r>
          </w:p>
        </w:tc>
        <w:tc>
          <w:tcPr>
            <w:tcW w:w="65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299" w:type="dxa"/>
            <w:tcBorders/>
            <w:shd w:fill="auto" w:val="clea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12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1,666</w:t>
            </w:r>
          </w:p>
        </w:tc>
        <w:tc>
          <w:tcPr>
            <w:tcW w:w="129" w:type="dxa"/>
            <w:tcBorders/>
            <w:shd w:fill="auto" w:val="clear"/>
            <w:vAlign w:val="bottom"/>
          </w:tcPr>
          <w:p>
            <w:pPr>
              <w:pStyle w:val="TableContents"/>
              <w:spacing w:before="0" w:after="283"/>
              <w:rPr/>
            </w:pPr>
            <w:r>
              <w:rPr/>
              <w:t>  </w:t>
            </w:r>
          </w:p>
        </w:tc>
      </w:tr>
      <w:tr>
        <w:trPr/>
        <w:tc>
          <w:tcPr>
            <w:tcW w:w="7297"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Less accumulated depreciation and amortization</w:t>
            </w:r>
          </w:p>
        </w:tc>
        <w:tc>
          <w:tcPr>
            <w:tcW w:w="497"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299"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pBdr>
                <w:top w:val="single" w:sz="2" w:space="1" w:color="000000"/>
              </w:pBdr>
              <w:spacing w:before="0" w:after="283"/>
              <w:rPr/>
            </w:pPr>
            <w:r>
              <w:rPr/>
              <w:t> </w:t>
            </w:r>
          </w:p>
        </w:tc>
        <w:tc>
          <w:tcPr>
            <w:tcW w:w="65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299" w:type="dxa"/>
            <w:tcBorders/>
            <w:shd w:fill="auto" w:val="clea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5"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129" w:type="dxa"/>
            <w:tcBorders/>
            <w:shd w:fill="auto" w:val="clear"/>
            <w:vAlign w:val="bottom"/>
          </w:tcPr>
          <w:p>
            <w:pPr>
              <w:pStyle w:val="TableContents"/>
              <w:spacing w:before="0" w:after="283"/>
              <w:rPr/>
            </w:pPr>
            <w:r>
              <w:rPr/>
              <w:t>  </w:t>
            </w:r>
          </w:p>
        </w:tc>
      </w:tr>
      <w:tr>
        <w:trPr/>
        <w:tc>
          <w:tcPr>
            <w:tcW w:w="3299"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501"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pBdr>
                <w:top w:val="double" w:sz="6" w:space="1" w:color="000000"/>
              </w:pBdr>
              <w:spacing w:before="0" w:after="283"/>
              <w:rPr/>
            </w:pPr>
            <w:r>
              <w:rPr/>
              <w:t> </w:t>
            </w:r>
          </w:p>
        </w:tc>
        <w:tc>
          <w:tcPr>
            <w:tcW w:w="65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283"/>
              <w:rPr/>
            </w:pPr>
            <w:r>
              <w:rPr/>
              <w:t> </w:t>
            </w:r>
          </w:p>
        </w:tc>
        <w:tc>
          <w:tcPr>
            <w:tcW w:w="679"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For the years ended December 31, 2011 and 2010, and for the period from Inception through December 31, 2011, depreciation and amortization expense was $602,000, $338,000 and $1.7 million, respectively. </w:t>
      </w:r>
    </w:p>
    <w:p>
      <w:pPr>
        <w:pStyle w:val="TextBody"/>
        <w:spacing w:before="270" w:after="0"/>
        <w:rPr>
          <w:rFonts w:ascii="Times New Roman" w:hAnsi="Times New Roman"/>
          <w:b/>
          <w:sz w:val="20"/>
        </w:rPr>
      </w:pPr>
      <w:r>
        <w:rPr>
          <w:rFonts w:ascii="Times New Roman" w:hAnsi="Times New Roman"/>
          <w:b/>
          <w:sz w:val="20"/>
        </w:rPr>
        <w:t xml:space="preserve">(6) Related Party Arrangements </w:t>
      </w:r>
    </w:p>
    <w:p>
      <w:pPr>
        <w:pStyle w:val="TextBody"/>
        <w:spacing w:before="90" w:after="0"/>
        <w:rPr>
          <w:rFonts w:ascii="Times New Roman" w:hAnsi="Times New Roman"/>
          <w:i/>
          <w:sz w:val="20"/>
        </w:rPr>
      </w:pPr>
      <w:r>
        <w:rPr>
          <w:rFonts w:ascii="Times New Roman" w:hAnsi="Times New Roman"/>
          <w:i/>
          <w:sz w:val="20"/>
        </w:rPr>
        <w:t xml:space="preserve">Transactions with the Companys President and Chief Executive Officer </w:t>
      </w:r>
    </w:p>
    <w:p>
      <w:pPr>
        <w:pStyle w:val="TextBody"/>
        <w:spacing w:before="90" w:after="0"/>
        <w:rPr>
          <w:rFonts w:ascii="Times New Roman" w:hAnsi="Times New Roman"/>
          <w:sz w:val="20"/>
        </w:rPr>
      </w:pPr>
      <w:r>
        <w:rPr>
          <w:rFonts w:ascii="Times New Roman" w:hAnsi="Times New Roman"/>
          <w:sz w:val="20"/>
        </w:rPr>
        <w:t xml:space="preserve">Effective July 1, 2011, the Company entered into an unrestricted research grant with its President and Chief Executive Officers research laboratory, or the Lab, for $160,000 for a one-year term for the advancement of research in cardiovascular disease. For the period from July 1, 2010 through June 30, 2011, the Company provided funding to the Lab under another unrestricted research grant for $226,000. In the first half of 2011, the Company provided research funding for the lab of approximately $92,000, in accordance with a similar unrestricted research grant arrangement. Funding of the unrestricted research grants is contingent upon the Companys financial condition, and can be deferred or terminated at the Companys discretion. Total expense under these arrangements for the years ended December 31, 2011 and 2010 was $155,000 and $255,000, respectively, and $1.4 million from Inception through December 31, 2011. </w:t>
      </w:r>
    </w:p>
    <w:p>
      <w:pPr>
        <w:pStyle w:val="TextBody"/>
        <w:spacing w:before="180" w:after="0"/>
        <w:rPr>
          <w:rFonts w:ascii="Times New Roman" w:hAnsi="Times New Roman"/>
          <w:sz w:val="20"/>
        </w:rPr>
      </w:pPr>
      <w:r>
        <w:rPr>
          <w:rFonts w:ascii="Times New Roman" w:hAnsi="Times New Roman"/>
          <w:sz w:val="20"/>
        </w:rPr>
        <w:t xml:space="preserve">The Company was a party to a materials transfer agreement with the University of Colorado, under which the Company paid $35,000 per year to maintain the Heart Tissue Bank associated with the President and Chief Executive Officers research lab at the University of Colorado. Total expense for the year ended December 31, 2011 was $26,000 and was $227,000 from Inception through December 31, 2011.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(7) Commitments and Contingencies </w:t>
      </w:r>
    </w:p>
    <w:p>
      <w:pPr>
        <w:pStyle w:val="TextBody"/>
        <w:spacing w:before="90" w:after="0"/>
        <w:rPr>
          <w:rFonts w:ascii="Times New Roman" w:hAnsi="Times New Roman"/>
          <w:sz w:val="20"/>
        </w:rPr>
      </w:pPr>
      <w:r>
        <w:rPr>
          <w:rFonts w:ascii="Times New Roman" w:hAnsi="Times New Roman"/>
          <w:sz w:val="20"/>
        </w:rPr>
        <w:t xml:space="preserve">The Company has or is subject to the following commitments and contingencies: </w:t>
      </w:r>
    </w:p>
    <w:p>
      <w:pPr>
        <w:pStyle w:val="TextBody"/>
        <w:spacing w:before="270" w:after="0"/>
        <w:rPr>
          <w:rFonts w:ascii="Times New Roman" w:hAnsi="Times New Roman"/>
          <w:b/>
          <w:i/>
          <w:sz w:val="20"/>
        </w:rPr>
      </w:pPr>
      <w:r>
        <w:rPr>
          <w:rFonts w:ascii="Times New Roman" w:hAnsi="Times New Roman"/>
          <w:b/>
          <w:i/>
          <w:sz w:val="20"/>
        </w:rPr>
        <w:t xml:space="preserve">Employment Agreements </w:t>
      </w:r>
    </w:p>
    <w:p>
      <w:pPr>
        <w:pStyle w:val="TextBody"/>
        <w:spacing w:before="90" w:after="0"/>
        <w:rPr>
          <w:rFonts w:ascii="Times New Roman" w:hAnsi="Times New Roman"/>
          <w:sz w:val="20"/>
        </w:rPr>
      </w:pPr>
      <w:r>
        <w:rPr>
          <w:rFonts w:ascii="Times New Roman" w:hAnsi="Times New Roman"/>
          <w:sz w:val="20"/>
        </w:rPr>
        <w:t xml:space="preserve">The Company maintains employment agreements with several key executive employees. The agreements may be terminated at any time by the Company with or without cause upon written notice to the employee, and entitle the employee to wages in lieu of notice for periods not exceeding one calendar year from date of termination without cause or by the employee for good reason. Certain of these agreements also provide for payments to be made under certain conditions related to a change in control of the Company. </w:t>
      </w:r>
    </w:p>
    <w:p>
      <w:pPr>
        <w:pStyle w:val="TextBody"/>
        <w:spacing w:before="270" w:after="0"/>
        <w:rPr>
          <w:rFonts w:ascii="Times New Roman" w:hAnsi="Times New Roman"/>
          <w:b/>
          <w:i/>
          <w:sz w:val="20"/>
        </w:rPr>
      </w:pPr>
      <w:r>
        <w:rPr>
          <w:rFonts w:ascii="Times New Roman" w:hAnsi="Times New Roman"/>
          <w:b/>
          <w:i/>
          <w:sz w:val="20"/>
        </w:rPr>
        <w:t xml:space="preserve">Operating Leases </w:t>
      </w:r>
    </w:p>
    <w:p>
      <w:pPr>
        <w:pStyle w:val="TextBody"/>
        <w:spacing w:before="90" w:after="0"/>
        <w:rPr>
          <w:rFonts w:ascii="Times New Roman" w:hAnsi="Times New Roman"/>
          <w:sz w:val="20"/>
        </w:rPr>
      </w:pPr>
      <w:r>
        <w:rPr>
          <w:rFonts w:ascii="Times New Roman" w:hAnsi="Times New Roman"/>
          <w:sz w:val="20"/>
        </w:rPr>
        <w:t xml:space="preserve">The Company is party to a lease agreement, dated February 8, 2008. The original lease provided for approximately 15,000 square feet of an office facility in Broomfield, Colorado, which serves as the Companys primary business offices. The lease has a term of five years with rights to extend the term for two additional three year periods. On June 14, 2011, the Company entered into a first amendment (the Amendment) to the lease agreement. Under the terms of the Amendment, the Company and its landlord mutually agreed for the Company to relocate from its previous office suite of approximately 15,000 square feet, to another suite within the same building, comprising approximately 4,500 square feet. The office location continues to serve as the Companys primary business office. The Amendment also modified the annual per square foot rate of rent and allows the Company to terminate with three months notice. As part of the agreement, the Company made a one-time payment to the landlord of $200,000, which the landlord agreed to use for the landlords improvements in the new leased premises prior to the Company occupying the space. The original five year term of the Lease remains unchanged. Per the lease agreement, base rent is subject to annual increases of approximately three percent per year. The rent expense for the lease is being recognized on a straight-line basis over the lease term. </w:t>
      </w:r>
    </w:p>
    <w:p>
      <w:pPr>
        <w:pStyle w:val="TextBody"/>
        <w:spacing w:before="180" w:after="0"/>
        <w:rPr>
          <w:rFonts w:ascii="Times New Roman" w:hAnsi="Times New Roman"/>
          <w:sz w:val="20"/>
        </w:rPr>
      </w:pPr>
      <w:r>
        <w:rPr>
          <w:rFonts w:ascii="Times New Roman" w:hAnsi="Times New Roman"/>
          <w:sz w:val="20"/>
        </w:rPr>
        <w:t xml:space="preserve">Under the original lease, the Company received tenant improvement reimbursements from the landlord totaling $593,000 which were recorded as deferred rent and were amortized as reductions to rent expense. The $200,000 payment made to the landlord in conjunction with the Amendment was recorded against the existing deferred rent balance. The net deferred rent balance is being amortized as reductions to rent expense over the remaining term of the lease. The unamortized deferred rent balance as of December 31, 2011 was $49,000. </w:t>
      </w:r>
    </w:p>
    <w:p>
      <w:pPr>
        <w:pStyle w:val="TextBody"/>
        <w:spacing w:before="180" w:after="0"/>
        <w:rPr>
          <w:rFonts w:ascii="Times New Roman" w:hAnsi="Times New Roman"/>
          <w:sz w:val="20"/>
        </w:rPr>
      </w:pPr>
      <w:r>
        <w:rPr>
          <w:rFonts w:ascii="Times New Roman" w:hAnsi="Times New Roman"/>
          <w:sz w:val="20"/>
        </w:rPr>
        <w:t xml:space="preserve">Rent expense under this lease for the years ended December 31, 2011 and 2010 was $150,000 and $123,000, respectively, and was $459,000 from Inception through December 31, 2011. </w:t>
      </w:r>
    </w:p>
    <w:p>
      <w:pPr>
        <w:pStyle w:val="TextBody"/>
        <w:spacing w:before="180" w:after="0"/>
        <w:rPr>
          <w:rFonts w:ascii="Times New Roman" w:hAnsi="Times New Roman"/>
          <w:sz w:val="20"/>
        </w:rPr>
      </w:pPr>
      <w:r>
        <w:rPr>
          <w:rFonts w:ascii="Times New Roman" w:hAnsi="Times New Roman"/>
          <w:sz w:val="20"/>
        </w:rPr>
        <w:t xml:space="preserve">Below is a summary of the future minimum lease payments committed under Companys facility in Broomfield, Colorado as of December 31, 2011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846"/>
        <w:gridCol w:w="498"/>
        <w:gridCol w:w="125"/>
        <w:gridCol w:w="347"/>
        <w:gridCol w:w="123"/>
      </w:tblGrid>
      <w:tr>
        <w:trPr/>
        <w:tc>
          <w:tcPr>
            <w:tcW w:w="584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846"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4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3" w:type="dxa"/>
            <w:tcBorders/>
            <w:shd w:fill="CCEEFF" w:val="clear"/>
            <w:vAlign w:val="bottom"/>
          </w:tcPr>
          <w:p>
            <w:pPr>
              <w:pStyle w:val="TableContents"/>
              <w:spacing w:before="0" w:after="283"/>
              <w:rPr/>
            </w:pPr>
            <w:r>
              <w:rPr/>
              <w:t>  </w:t>
            </w:r>
          </w:p>
        </w:tc>
      </w:tr>
      <w:tr>
        <w:trPr/>
        <w:tc>
          <w:tcPr>
            <w:tcW w:w="5846"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4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3" w:type="dxa"/>
            <w:tcBorders/>
            <w:shd w:fill="auto" w:val="clear"/>
            <w:vAlign w:val="bottom"/>
          </w:tcPr>
          <w:p>
            <w:pPr>
              <w:pStyle w:val="TableContents"/>
              <w:spacing w:before="0" w:after="283"/>
              <w:rPr/>
            </w:pPr>
            <w:r>
              <w:rPr/>
              <w:t>  </w:t>
            </w:r>
          </w:p>
        </w:tc>
      </w:tr>
      <w:tr>
        <w:trPr/>
        <w:tc>
          <w:tcPr>
            <w:tcW w:w="5846" w:type="dxa"/>
            <w:tcBorders/>
            <w:shd w:fill="auto" w:val="clear"/>
            <w:vAlign w:val="bottom"/>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47"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846" w:type="dxa"/>
            <w:tcBorders/>
            <w:shd w:fill="CCEEFF" w:val="clear"/>
          </w:tcPr>
          <w:p>
            <w:pPr>
              <w:pStyle w:val="TableContents"/>
              <w:spacing w:before="0" w:after="283"/>
              <w:rPr>
                <w:rFonts w:ascii="Times New Roman" w:hAnsi="Times New Roman"/>
                <w:sz w:val="20"/>
              </w:rPr>
            </w:pPr>
            <w:r>
              <w:rPr>
                <w:rFonts w:ascii="Times New Roman" w:hAnsi="Times New Roman"/>
                <w:sz w:val="20"/>
              </w:rPr>
              <w:t>Total future minimum rental payments</w:t>
            </w:r>
          </w:p>
        </w:tc>
        <w:tc>
          <w:tcPr>
            <w:tcW w:w="4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3" w:type="dxa"/>
            <w:tcBorders/>
            <w:shd w:fill="CCEEFF" w:val="clear"/>
            <w:vAlign w:val="bottom"/>
          </w:tcPr>
          <w:p>
            <w:pPr>
              <w:pStyle w:val="TableContents"/>
              <w:spacing w:before="0" w:after="283"/>
              <w:rPr/>
            </w:pPr>
            <w:r>
              <w:rPr/>
              <w:t>  </w:t>
            </w:r>
          </w:p>
        </w:tc>
      </w:tr>
      <w:tr>
        <w:trPr/>
        <w:tc>
          <w:tcPr>
            <w:tcW w:w="5846" w:type="dxa"/>
            <w:tcBorders/>
            <w:shd w:fill="auto" w:val="clear"/>
            <w:vAlign w:val="bottom"/>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347"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University of Cincinnati </w:t>
      </w:r>
    </w:p>
    <w:p>
      <w:pPr>
        <w:pStyle w:val="TextBody"/>
        <w:spacing w:before="90" w:after="0"/>
        <w:rPr>
          <w:rFonts w:ascii="Times New Roman" w:hAnsi="Times New Roman"/>
          <w:sz w:val="20"/>
        </w:rPr>
      </w:pPr>
      <w:r>
        <w:rPr>
          <w:rFonts w:ascii="Times New Roman" w:hAnsi="Times New Roman"/>
          <w:sz w:val="20"/>
        </w:rPr>
        <w:t xml:space="preserve">In April 2011, the Company entered into a license agreement with the University of Cincinnati to license exclusive worldwide rights to a portfolio of U.S. and international patents, which includes certain U.S. and international diagnostic patents covering genetic markers for ARCAs lead drug candidate, Gencaro. These patents provide the basis for exclusive worldwide development, use and commercialization of the genetic test which may indicate a patients likely response to Gencaro as a treatment for chronic HF, AF, and other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indications. Under the terms of the agreement, ARCA agreed to pay the University of Cincinnati annual license fees and is obligated to future milestone payments for each United States patent issued subsequent to the date of the agreement. The agreement also requires royalty payments on net sales from genetic testing performed expressly for the purpose of prescribing bucindolol. </w:t>
      </w:r>
    </w:p>
    <w:p>
      <w:pPr>
        <w:pStyle w:val="TextBody"/>
        <w:spacing w:before="270" w:after="0"/>
        <w:rPr>
          <w:rFonts w:ascii="Times New Roman" w:hAnsi="Times New Roman"/>
          <w:b/>
          <w:i/>
          <w:sz w:val="20"/>
        </w:rPr>
      </w:pPr>
      <w:r>
        <w:rPr>
          <w:rFonts w:ascii="Times New Roman" w:hAnsi="Times New Roman"/>
          <w:b/>
          <w:i/>
          <w:sz w:val="20"/>
        </w:rPr>
        <w:t xml:space="preserve">Laboratory Corporation of America </w:t>
      </w:r>
    </w:p>
    <w:p>
      <w:pPr>
        <w:pStyle w:val="TextBody"/>
        <w:spacing w:before="90" w:after="0"/>
        <w:rPr>
          <w:rFonts w:ascii="Times New Roman" w:hAnsi="Times New Roman"/>
          <w:sz w:val="20"/>
        </w:rPr>
      </w:pPr>
      <w:r>
        <w:rPr>
          <w:rFonts w:ascii="Times New Roman" w:hAnsi="Times New Roman"/>
          <w:sz w:val="20"/>
        </w:rPr>
        <w:t xml:space="preserve">In February 2007, the Company entered into a commercialization and licensing agreement with Laboratory Corporation of America, or LabCorp, to develop, make, market and sell diagnostic tests in connection with the medical prescription of the Companys lead compound, Gencaro. Under the agreement the Company has licensed to LabCorp certain rights to commercialize a diagnostic test. The license agreement has a term of 10 years. LabCorp has the right to cancel the agreement and give the rights to the diagnostic back to the Company. In addition, the Company granted to LabCorp 16,698 shares of common stock. The shares are subject to a restricted stock agreement in which shares vest upon the attainment of certain regulatory approval and drug product sales milestones. </w:t>
      </w:r>
    </w:p>
    <w:p>
      <w:pPr>
        <w:pStyle w:val="TextBody"/>
        <w:spacing w:before="270" w:after="0"/>
        <w:rPr>
          <w:rFonts w:ascii="Times New Roman" w:hAnsi="Times New Roman"/>
          <w:b/>
          <w:i/>
          <w:sz w:val="20"/>
        </w:rPr>
      </w:pPr>
      <w:r>
        <w:rPr>
          <w:rFonts w:ascii="Times New Roman" w:hAnsi="Times New Roman"/>
          <w:b/>
          <w:i/>
          <w:sz w:val="20"/>
        </w:rPr>
        <w:t xml:space="preserve">Cardiovascular Pharmacology and Engineering Consultants, LLC, or CPEC </w:t>
      </w:r>
    </w:p>
    <w:p>
      <w:pPr>
        <w:pStyle w:val="TextBody"/>
        <w:spacing w:before="90" w:after="0"/>
        <w:rPr>
          <w:rFonts w:ascii="Times New Roman" w:hAnsi="Times New Roman"/>
          <w:sz w:val="20"/>
        </w:rPr>
      </w:pPr>
      <w:r>
        <w:rPr>
          <w:rFonts w:ascii="Times New Roman" w:hAnsi="Times New Roman"/>
          <w:sz w:val="20"/>
        </w:rPr>
        <w:t xml:space="preserve">Under the terms of its strategic license agreement with CPEC, a licensing subsidiary of Indevus Pharmaceuticals Inc. (a wholly owned subsidiary of Endo Pharmaceuticals), holding ownership rights to certain clinical trial data of Gencaro, the Company will incur milestone and royalty obligations upon the occurrence of certain events. In August 2008, the Company paid CPEC a milestone payment of $500,000 based on the July 31, 2008 submission of its NDA with the FDA. If the FDA grants marketing approval for Gencaro, the Company will owe CPEC another milestone payment of $8.0 million, which is due within six months after FDA approval. The Company also has the obligation to make milestone payments of up to $5.0 million in the aggregate upon regulatory marketing approval in Europe and Japan. The Companys royalty obligation ranges from 12.5% to 25% of revenue from the related product based on achievement of specified product sales levels, including a 5% royalty that CPEC is obligated to pay under its original license agreement for Gencaro. The Company has the right to buy down the royalties to a range of 12.5% to 17% by making a payment to CPEC within six months of regulatory approval. </w:t>
      </w:r>
    </w:p>
    <w:p>
      <w:pPr>
        <w:pStyle w:val="TextBody"/>
        <w:spacing w:before="270" w:after="0"/>
        <w:rPr>
          <w:rFonts w:ascii="Times New Roman" w:hAnsi="Times New Roman"/>
          <w:b/>
          <w:i/>
          <w:sz w:val="20"/>
        </w:rPr>
      </w:pPr>
      <w:r>
        <w:rPr>
          <w:rFonts w:ascii="Times New Roman" w:hAnsi="Times New Roman"/>
          <w:b/>
          <w:i/>
          <w:sz w:val="20"/>
        </w:rPr>
        <w:t xml:space="preserve">Dendreon </w:t>
      </w:r>
    </w:p>
    <w:p>
      <w:pPr>
        <w:pStyle w:val="TextBody"/>
        <w:spacing w:before="90" w:after="0"/>
        <w:rPr>
          <w:rFonts w:ascii="Times New Roman" w:hAnsi="Times New Roman"/>
          <w:sz w:val="20"/>
        </w:rPr>
      </w:pPr>
      <w:r>
        <w:rPr>
          <w:rFonts w:ascii="Times New Roman" w:hAnsi="Times New Roman"/>
          <w:sz w:val="20"/>
        </w:rPr>
        <w:t xml:space="preserve">In February 2004, Nuvelo obtained exclusive worldwide rights to all indications of rNAPc2 and all other rNAPc molecules owned by Dendreon Corporation as a result of a licensing agreement entered into with them. Under the terms of the agreement, Nuvelo paid Dendreon an upfront fee of $4.0 million ($0.5 million in cash and $3.5 million in Nuvelo common stock) in 2004. Future milestone payments to Dendreon could reach as much as $2.5 million if rNAPc2 is successfully developed and all commercialization milestones are achieved for the indication of treatment for Ebola virus infection. In addition, such milestones could reach as much as $23.5 million if rNAPc2 is developed and commercialized for indications other than Ebola virus infection. ARCA currently cannot predict if or when any of these milestones will be achieved. If rNAPc2 is commercialized, ARCA will be responsible for paying royalties to Dendreon based on sales of rNAPc2. </w:t>
      </w:r>
    </w:p>
    <w:p>
      <w:pPr>
        <w:pStyle w:val="TextBody"/>
        <w:spacing w:before="270" w:after="0"/>
        <w:rPr>
          <w:rFonts w:ascii="Times New Roman" w:hAnsi="Times New Roman"/>
          <w:b/>
          <w:sz w:val="20"/>
        </w:rPr>
      </w:pPr>
      <w:r>
        <w:rPr>
          <w:rFonts w:ascii="Times New Roman" w:hAnsi="Times New Roman"/>
          <w:b/>
          <w:sz w:val="20"/>
        </w:rPr>
        <w:t xml:space="preserve">(8) Collaborative Agreements </w:t>
      </w:r>
    </w:p>
    <w:p>
      <w:pPr>
        <w:pStyle w:val="TextBody"/>
        <w:spacing w:before="90" w:after="0"/>
        <w:rPr>
          <w:rFonts w:ascii="Times New Roman" w:hAnsi="Times New Roman"/>
          <w:b/>
          <w:i/>
          <w:sz w:val="20"/>
        </w:rPr>
      </w:pPr>
      <w:r>
        <w:rPr>
          <w:rFonts w:ascii="Times New Roman" w:hAnsi="Times New Roman"/>
          <w:b/>
          <w:i/>
          <w:sz w:val="20"/>
        </w:rPr>
        <w:t xml:space="preserve">Archemix </w:t>
      </w:r>
    </w:p>
    <w:p>
      <w:pPr>
        <w:pStyle w:val="TextBody"/>
        <w:spacing w:before="90" w:after="0"/>
        <w:rPr>
          <w:rFonts w:ascii="Times New Roman" w:hAnsi="Times New Roman"/>
          <w:sz w:val="20"/>
        </w:rPr>
      </w:pPr>
      <w:r>
        <w:rPr>
          <w:rFonts w:ascii="Times New Roman" w:hAnsi="Times New Roman"/>
          <w:sz w:val="20"/>
        </w:rPr>
        <w:t xml:space="preserve">In July 2006, Nuvelo entered into a collaboration agreement with Archemix Corporation, or Archemix. Under the agreement, Archemix was responsible for the discovery of short-acting aptamers targeting the coagulation cascade for use in acute cardiovascular procedures, and the Company was responsible for development and worldwide commercialization of these product candidates. In August 2006, Nuvelo made an upfront license fee payment to Archemix of $4.0 million, and pursuant to the terms of the agreement committed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 funding at least $5.25 million of Archemixs research over the first three years of the agreement. As of July 2009, this funding commitment had been satisfied. Archemix had the right to receive payments totaling up to $35.0 million per development compound contingent upon the achievement of specified development and regulatory milestones, along with potential royalty payments based on sales of licensed compounds. In February 2008, Nuvelo paid Archemix a $1.0 million milestone fee that was accrued upon dosing of the first patient in the Phase 1 trial for NU172. </w:t>
      </w:r>
    </w:p>
    <w:p>
      <w:pPr>
        <w:pStyle w:val="TextBody"/>
        <w:spacing w:before="180" w:after="0"/>
        <w:rPr>
          <w:rFonts w:ascii="Times New Roman" w:hAnsi="Times New Roman"/>
          <w:sz w:val="20"/>
        </w:rPr>
      </w:pPr>
      <w:r>
        <w:rPr>
          <w:rFonts w:ascii="Times New Roman" w:hAnsi="Times New Roman"/>
          <w:sz w:val="20"/>
        </w:rPr>
        <w:t xml:space="preserve">On April 20, 2010, the Company amended its collaboration agreement with Archemix for the discovery and development of novel aptamers with anti-coagulation activities, or the Amended Agreement. In the Amended Agreement, the parties modified certain financial provisions and certain other provisions to reflect the termination of the research and collaboration and limitation of the agreement to NU172. In summary, the agreement was amended,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Pursuant to the previous agreement, ARCA funded a research collaboration under which Archemix generated candidate aptamers for ARCAs selection for further development and commercialization. In the Amended Agreement, ARCA is given sole control over the development, manufacture and commercialization of NU172, and no further research or development collaboration is provided for.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Under the previous agreement, for each product resulting from the collaboration, ARCA had the obligation to fund the development and commercialization of such product and pay milestones and royalties to Archemix on the net sales for such product. However, Archemix had the option to share in 25% of the expenses incurred and profits obtained from the development and commercialization of such product, which election Archemix could make after the inception of the Phase 3 clinical trial for the product. In the Amended Agreement, Archemix no longer has such participation right, but will have the right to receive milestones and royalties on the net sales of NU172, if any, on the same terms and conditions as those under the previous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Amended Agreement revises the exclusivity provision to provide that Archemix will not, by itself or in collaboration with a third party, develop, manufacture or commercialize short-acting aptamers that directly inhibit thrombin or are used as a treatment for viral or bacterial infections, and in either case cause a therapeutically-useful level of anticoagulation.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Pursuant to the previous agreement, ARCA had the obligation to purchase Archemix common stock in an Archemix initial public offering under certain conditions and subject to certain terms. In the Amended Agreement, this obligation is eliminated. </w:t>
            </w:r>
          </w:p>
        </w:tc>
      </w:tr>
    </w:tbl>
    <w:p>
      <w:pPr>
        <w:pStyle w:val="TextBody"/>
        <w:spacing w:before="270" w:after="0"/>
        <w:rPr>
          <w:rFonts w:ascii="Times New Roman" w:hAnsi="Times New Roman"/>
          <w:b/>
          <w:sz w:val="20"/>
        </w:rPr>
      </w:pPr>
      <w:r>
        <w:rPr>
          <w:rFonts w:ascii="Times New Roman" w:hAnsi="Times New Roman"/>
          <w:b/>
          <w:sz w:val="20"/>
        </w:rPr>
        <w:t xml:space="preserve">(9) Equity Distribution Agreement </w:t>
      </w:r>
    </w:p>
    <w:p>
      <w:pPr>
        <w:pStyle w:val="TextBody"/>
        <w:spacing w:before="90" w:after="0"/>
        <w:rPr>
          <w:rFonts w:ascii="Times New Roman" w:hAnsi="Times New Roman"/>
          <w:sz w:val="20"/>
        </w:rPr>
      </w:pPr>
      <w:r>
        <w:rPr>
          <w:rFonts w:ascii="Times New Roman" w:hAnsi="Times New Roman"/>
          <w:sz w:val="20"/>
        </w:rPr>
        <w:t xml:space="preserve">In 2009 the Company entered into an equity distribution agreement, or the Agreement, with Wedbush Securities Inc., the Agent, under which the Company could, from time to time, offer and sell its common stock through the Agent. On April 30, 2010, the Company amended the Agreement to permit it to sell up to an aggregate of $20 million in shares, which were registered on a registration statement on Form S-3 (File No. 333-148288). In the year ended December 31, 2010, the Company sold 1,164,600 shares of common stock under this Agreement and realized $7.2 million of proceeds, net of $338,000 of offering costs. On May 23, 2011 the Company terminated this agreement. No shares of common stock were sold during 2011 under this agreement. </w:t>
      </w:r>
    </w:p>
    <w:p>
      <w:pPr>
        <w:pStyle w:val="TextBody"/>
        <w:spacing w:before="270" w:after="0"/>
        <w:rPr>
          <w:rFonts w:ascii="Times New Roman" w:hAnsi="Times New Roman"/>
          <w:b/>
          <w:sz w:val="20"/>
        </w:rPr>
      </w:pPr>
      <w:r>
        <w:rPr>
          <w:rFonts w:ascii="Times New Roman" w:hAnsi="Times New Roman"/>
          <w:b/>
          <w:sz w:val="20"/>
        </w:rPr>
        <w:t xml:space="preserve">(10) Legal Matters </w:t>
      </w:r>
    </w:p>
    <w:p>
      <w:pPr>
        <w:pStyle w:val="TextBody"/>
        <w:spacing w:before="90" w:after="0"/>
        <w:rPr>
          <w:rFonts w:ascii="Times New Roman" w:hAnsi="Times New Roman"/>
          <w:sz w:val="20"/>
        </w:rPr>
      </w:pPr>
      <w:r>
        <w:rPr>
          <w:rFonts w:ascii="Times New Roman" w:hAnsi="Times New Roman"/>
          <w:sz w:val="20"/>
        </w:rPr>
        <w:t xml:space="preserve">On February 9, 2007, Nuvelo and certain of Nuvelos former and then current officers and directors were named as defendants in a purported securities class action lawsuit filed in the United States District Court for the Southern District of New York. The suit alleged violations of the Securities Exchange Act of 1934 related to the clinical trial results of alfimeprase, which Nuvelo announced on December 11, 2006, and the suit sought damages on behalf of purchasers of Nuvelos common stock during the period between January 5, 2006 and December 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2006. On December 29, 2010, ARCA and the other defendants reached a settlement of the litigation with the plaintiffs, after participating in mediation, and on February 25, 2011, the parties entered into a settlement agreement. ARCAs insurance carriers funded the settlement. On July 25, 2011 the order for final settlement became effective and the suit was dismissed. </w:t>
      </w:r>
    </w:p>
    <w:p>
      <w:pPr>
        <w:pStyle w:val="TextBody"/>
        <w:spacing w:before="180" w:after="0"/>
        <w:rPr>
          <w:rFonts w:ascii="Times New Roman" w:hAnsi="Times New Roman"/>
          <w:sz w:val="20"/>
        </w:rPr>
      </w:pPr>
      <w:r>
        <w:rPr>
          <w:rFonts w:ascii="Times New Roman" w:hAnsi="Times New Roman"/>
          <w:sz w:val="20"/>
        </w:rPr>
        <w:t xml:space="preserve">On or about December 6, 2001, Variagenics, Inc. was sued in a complaint filed in the United States District Court for the Southern District of New York naming it and certain of its officers and underwriters as defendants. The complaint purportedly was filed on behalf of persons purchasing Variagenics stock between July 21, 2000 and December 6, 2000, and alleged violations of certain sections of the Securities Act of 1933, as amended, and the Securities Exchange Act of 1934, as amended. The complaint alleged that, in connection with Variagenics July 21, 2000 initial public offering, or IPO, the defendants failed to disclose additional and excessive commissions purportedly solicited by and paid to the underwriter defendants in exchange for allocating shares of Variagenics stock to preferred customers and alleged agreements among the underwriter defendants and preferred customers tying the allocation of IPO shares to agreements to make additional aftermarket purchases at predetermined prices. ARCA was involved in this litigation as a result of Nuvelos merger with Variagenics in January 2003. On April 1, 2009 the parties entered into a settlement agreement. On October 5, 2009, the Court approved the settlement agreement. ARCAs share of the settlement was approximately $385,000 and was funded by ARCAs insurance carrier. Although the settlement was approved by the Court, it had been appealed by members of the class. On January 9, 2012 the appeal was dismissed by the Court and the suit was settled. </w:t>
      </w:r>
    </w:p>
    <w:p>
      <w:pPr>
        <w:pStyle w:val="TextBody"/>
        <w:spacing w:before="270" w:after="0"/>
        <w:rPr>
          <w:rFonts w:ascii="Times New Roman" w:hAnsi="Times New Roman"/>
          <w:b/>
          <w:sz w:val="20"/>
        </w:rPr>
      </w:pPr>
      <w:r>
        <w:rPr>
          <w:rFonts w:ascii="Times New Roman" w:hAnsi="Times New Roman"/>
          <w:b/>
          <w:sz w:val="20"/>
        </w:rPr>
        <w:t xml:space="preserve">(11) Stock-based Compensation </w:t>
      </w:r>
    </w:p>
    <w:p>
      <w:pPr>
        <w:pStyle w:val="TextBody"/>
        <w:spacing w:before="90" w:after="0"/>
        <w:rPr>
          <w:rFonts w:ascii="Times New Roman" w:hAnsi="Times New Roman"/>
          <w:b/>
          <w:i/>
          <w:sz w:val="20"/>
        </w:rPr>
      </w:pPr>
      <w:r>
        <w:rPr>
          <w:rFonts w:ascii="Times New Roman" w:hAnsi="Times New Roman"/>
          <w:b/>
          <w:i/>
          <w:sz w:val="20"/>
        </w:rPr>
        <w:t xml:space="preserve">Warrants </w:t>
      </w:r>
    </w:p>
    <w:p>
      <w:pPr>
        <w:pStyle w:val="TextBody"/>
        <w:spacing w:before="90" w:after="0"/>
        <w:rPr>
          <w:rFonts w:ascii="Times New Roman" w:hAnsi="Times New Roman"/>
          <w:sz w:val="20"/>
        </w:rPr>
      </w:pPr>
      <w:r>
        <w:rPr>
          <w:rFonts w:ascii="Times New Roman" w:hAnsi="Times New Roman"/>
          <w:sz w:val="20"/>
        </w:rPr>
        <w:t xml:space="preserve">As of December 31, 2011, warrants to purchase 2,750,151 shares of common stock were outstanding at exercise prices ranging from $1.485 to $19.48, with a weighted average exercise price per share of $2.65. These warrants, which were granted as part of various financing and business agreements, expire at various times between October 2013 and August 2018. Warrants were recorded in additional paid-in capital at their estimated fair market value at the date of grant using the Black-Scholes option-pricing model. </w:t>
      </w:r>
    </w:p>
    <w:p>
      <w:pPr>
        <w:pStyle w:val="TextBody"/>
        <w:spacing w:before="270" w:after="0"/>
        <w:rPr>
          <w:rFonts w:ascii="Times New Roman" w:hAnsi="Times New Roman"/>
          <w:b/>
          <w:i/>
          <w:sz w:val="20"/>
        </w:rPr>
      </w:pPr>
      <w:r>
        <w:rPr>
          <w:rFonts w:ascii="Times New Roman" w:hAnsi="Times New Roman"/>
          <w:b/>
          <w:i/>
          <w:sz w:val="20"/>
        </w:rPr>
        <w:t xml:space="preserve">Stock Plans </w:t>
      </w:r>
    </w:p>
    <w:p>
      <w:pPr>
        <w:pStyle w:val="TextBody"/>
        <w:spacing w:before="90" w:after="0"/>
        <w:rPr>
          <w:rFonts w:ascii="Times New Roman" w:hAnsi="Times New Roman"/>
          <w:sz w:val="20"/>
        </w:rPr>
      </w:pPr>
      <w:r>
        <w:rPr>
          <w:rFonts w:ascii="Times New Roman" w:hAnsi="Times New Roman"/>
          <w:sz w:val="20"/>
        </w:rPr>
        <w:t xml:space="preserve">The Companys equity incentive plan was amended, as approved by shareholders on June 25, 2009, to (i) change the name of the plan from the </w:t>
      </w:r>
      <w:r>
        <w:rPr>
          <w:rFonts w:ascii="Times New Roman" w:hAnsi="Times New Roman"/>
          <w:i/>
          <w:sz w:val="20"/>
        </w:rPr>
        <w:t>Amended and Restated Nuvelo, Inc. 2004 Equity Incentive Plan</w:t>
      </w:r>
      <w:r>
        <w:rPr>
          <w:rFonts w:ascii="Times New Roman" w:hAnsi="Times New Roman"/>
          <w:sz w:val="20"/>
        </w:rPr>
        <w:t xml:space="preserve"> to the </w:t>
      </w:r>
      <w:r>
        <w:rPr>
          <w:rFonts w:ascii="Times New Roman" w:hAnsi="Times New Roman"/>
          <w:i/>
          <w:sz w:val="20"/>
        </w:rPr>
        <w:t>Amended and Restated ARCA biopharma, Inc. 2004 Equity Incentive Plan</w:t>
      </w:r>
      <w:r>
        <w:rPr>
          <w:rFonts w:ascii="Times New Roman" w:hAnsi="Times New Roman"/>
          <w:sz w:val="20"/>
        </w:rPr>
        <w:t xml:space="preserve">, or the Equity Plan, (ii) increase the maximum number of shares issuable under the plan, revise the formula for determining the maximum number of shares issuable under the plan and implement new share usage rules; and (iii) adjust the award limitations for stock options and stock appreciation rights. As a result of such amendment, the maximum number of shares issuable under the Equity Plan was increased by 326,323 shares. </w:t>
      </w:r>
    </w:p>
    <w:p>
      <w:pPr>
        <w:pStyle w:val="TextBody"/>
        <w:spacing w:before="180" w:after="0"/>
        <w:rPr>
          <w:rFonts w:ascii="Times New Roman" w:hAnsi="Times New Roman"/>
          <w:sz w:val="20"/>
        </w:rPr>
      </w:pPr>
      <w:r>
        <w:rPr>
          <w:rFonts w:ascii="Times New Roman" w:hAnsi="Times New Roman"/>
          <w:sz w:val="20"/>
        </w:rPr>
        <w:t xml:space="preserve">The Equity Plan provides for the granting of stock options (including indexed options), stock appreciation rights, restricted stock purchase rights, restricted stock bonuses, restricted stock units, performance shares, performance units and deferred stock units. Under the Equity Plan, awards may be granted to employees, directors and consultants of ARCA, except for incentive stock options, which may be granted only to employees. As of December 31, 2011, options to purchase 393,345 shares were outstanding under the Equity Plan, and 506,908 shares were reserved for future awards. </w:t>
      </w:r>
    </w:p>
    <w:p>
      <w:pPr>
        <w:pStyle w:val="TextBody"/>
        <w:spacing w:before="180" w:after="0"/>
        <w:rPr>
          <w:rFonts w:ascii="Times New Roman" w:hAnsi="Times New Roman"/>
          <w:sz w:val="20"/>
        </w:rPr>
      </w:pPr>
      <w:r>
        <w:rPr>
          <w:rFonts w:ascii="Times New Roman" w:hAnsi="Times New Roman"/>
          <w:sz w:val="20"/>
        </w:rPr>
        <w:t xml:space="preserve">In general, the Equity Plan authorizes the grant of stock options that vest at rates set by the Board of Directors or the Compensation Committee thereof. Generally, stock options granted by ARCA under the equity incentive plans become exercisable ratably for a period of three to four years from the date of grant and have a maximum term of ten years. The exercise prices of stock options under the equity incentive plan generally meet the following criteria: the exercise price of incentive stock options must be at least 100% of the fair market value on the grant date and exercise price of options granted to 10% (or greater) stockholders must be at least 110%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fair market value on the grant date. ARCAs other stock plans under which options remained outstanding as of December 31, 2011 are the Non-Employee Director Stock Option Plan. As of December 31, 2011, options to purchase 914 shares were outstanding under this stock plan. </w:t>
      </w:r>
    </w:p>
    <w:p>
      <w:pPr>
        <w:pStyle w:val="TextBody"/>
        <w:spacing w:before="180" w:after="0"/>
        <w:rPr>
          <w:rFonts w:ascii="Times New Roman" w:hAnsi="Times New Roman"/>
          <w:sz w:val="20"/>
        </w:rPr>
      </w:pPr>
      <w:r>
        <w:rPr>
          <w:rFonts w:ascii="Times New Roman" w:hAnsi="Times New Roman"/>
          <w:sz w:val="20"/>
        </w:rPr>
        <w:t xml:space="preserve">In conjunction with the Merger, the Company discontinued grants under its 2004 Stock Option Plan effective January 27, 2009. As of December 31, 2011, options to purchase 469,979 shares with a weighted average exercise price of $2.38 per share were outstanding under this plan. Options and awards outstanding under this plan will continue to vest according to the original terms of each grant. No new awards will be granted under this plan. Subsequent to the Merger, the Company has granted stock-based compensation awards under the Equity Plan. </w:t>
      </w:r>
    </w:p>
    <w:p>
      <w:pPr>
        <w:pStyle w:val="TextBody"/>
        <w:spacing w:before="180" w:after="0"/>
        <w:rPr>
          <w:rFonts w:ascii="Times New Roman" w:hAnsi="Times New Roman"/>
          <w:sz w:val="20"/>
        </w:rPr>
      </w:pPr>
      <w:r>
        <w:rPr>
          <w:rFonts w:ascii="Times New Roman" w:hAnsi="Times New Roman"/>
          <w:sz w:val="20"/>
        </w:rPr>
        <w:t xml:space="preserve">The Company granted options to purchase 164,700 and 128,170 shares of common stock in the years ended December 31, 2011 and 2010, respectively. The fair values of employee stock options granted in the years ended December 31, 2011 and 2010 were estimated at the date of grant using the Black-Scholes model with the following assumptions and had the following estimated weighted average grant date fair value per share: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274"/>
        <w:gridCol w:w="691"/>
        <w:gridCol w:w="125"/>
        <w:gridCol w:w="741"/>
        <w:gridCol w:w="230"/>
        <w:gridCol w:w="593"/>
        <w:gridCol w:w="125"/>
        <w:gridCol w:w="741"/>
        <w:gridCol w:w="235"/>
      </w:tblGrid>
      <w:tr>
        <w:trPr/>
        <w:tc>
          <w:tcPr>
            <w:tcW w:w="4274"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4274"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2555"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Years Ended</w:t>
            </w:r>
            <w:r>
              <w:rPr/>
              <w:br/>
            </w:r>
            <w:r>
              <w:rPr>
                <w:rFonts w:ascii="Times New Roman" w:hAnsi="Times New Roman"/>
                <w:b/>
                <w:sz w:val="14"/>
              </w:rPr>
              <w:t>December 31,</w:t>
            </w:r>
          </w:p>
        </w:tc>
        <w:tc>
          <w:tcPr>
            <w:tcW w:w="235" w:type="dxa"/>
            <w:tcBorders/>
            <w:shd w:fill="auto"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230"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5"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term</w:t>
            </w:r>
          </w:p>
        </w:tc>
        <w:tc>
          <w:tcPr>
            <w:tcW w:w="6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 years</w:t>
            </w:r>
          </w:p>
        </w:tc>
        <w:tc>
          <w:tcPr>
            <w:tcW w:w="23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 years</w:t>
            </w:r>
          </w:p>
        </w:tc>
        <w:tc>
          <w:tcPr>
            <w:tcW w:w="235"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Expected volatility</w:t>
            </w:r>
          </w:p>
        </w:tc>
        <w:tc>
          <w:tcPr>
            <w:tcW w:w="6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Risk-free interest rate</w:t>
            </w:r>
          </w:p>
        </w:tc>
        <w:tc>
          <w:tcPr>
            <w:tcW w:w="6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Expected dividend yield</w:t>
            </w:r>
          </w:p>
        </w:tc>
        <w:tc>
          <w:tcPr>
            <w:tcW w:w="6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Weighted-average grant date fair value per share</w:t>
            </w:r>
          </w:p>
        </w:tc>
        <w:tc>
          <w:tcPr>
            <w:tcW w:w="6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23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235"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 summary of ARCAs stock option activities for the years ended December 31, 2011 and 2010, and related information as of December 31, 2011,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41"/>
        <w:gridCol w:w="367"/>
        <w:gridCol w:w="60"/>
        <w:gridCol w:w="776"/>
        <w:gridCol w:w="125"/>
        <w:gridCol w:w="328"/>
        <w:gridCol w:w="125"/>
        <w:gridCol w:w="597"/>
        <w:gridCol w:w="120"/>
        <w:gridCol w:w="367"/>
        <w:gridCol w:w="60"/>
        <w:gridCol w:w="736"/>
        <w:gridCol w:w="125"/>
        <w:gridCol w:w="328"/>
        <w:gridCol w:w="125"/>
        <w:gridCol w:w="597"/>
        <w:gridCol w:w="128"/>
      </w:tblGrid>
      <w:tr>
        <w:trPr/>
        <w:tc>
          <w:tcPr>
            <w:tcW w:w="524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241"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446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years ended December 31,</w:t>
            </w:r>
          </w:p>
        </w:tc>
        <w:tc>
          <w:tcPr>
            <w:tcW w:w="128" w:type="dxa"/>
            <w:tcBorders/>
            <w:shd w:fill="auto" w:val="clear"/>
            <w:vAlign w:val="bottom"/>
          </w:tcPr>
          <w:p>
            <w:pPr>
              <w:pStyle w:val="TableContents"/>
              <w:spacing w:before="0" w:after="283"/>
              <w:rPr/>
            </w:pPr>
            <w:r>
              <w:rPr/>
              <w:t> </w:t>
            </w:r>
          </w:p>
        </w:tc>
      </w:tr>
      <w:tr>
        <w:trPr/>
        <w:tc>
          <w:tcPr>
            <w:tcW w:w="5241"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01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7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8" w:type="dxa"/>
            <w:tcBorders/>
            <w:shd w:fill="auto" w:val="clear"/>
            <w:vAlign w:val="bottom"/>
          </w:tcPr>
          <w:p>
            <w:pPr>
              <w:pStyle w:val="TableContents"/>
              <w:spacing w:before="0" w:after="283"/>
              <w:rPr/>
            </w:pPr>
            <w:r>
              <w:rPr/>
              <w:t> </w:t>
            </w:r>
          </w:p>
        </w:tc>
      </w:tr>
      <w:tr>
        <w:trPr/>
        <w:tc>
          <w:tcPr>
            <w:tcW w:w="5241"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Options</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79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of Options</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128" w:type="dxa"/>
            <w:tcBorders/>
            <w:shd w:fill="auto" w:val="clear"/>
            <w:vAlign w:val="bottom"/>
          </w:tcPr>
          <w:p>
            <w:pPr>
              <w:pStyle w:val="TableContents"/>
              <w:spacing w:before="0" w:after="283"/>
              <w:rPr/>
            </w:pPr>
            <w:r>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outstanding, beginning of period</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953,238</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31.87</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921,104</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69.60</w:t>
            </w:r>
          </w:p>
        </w:tc>
        <w:tc>
          <w:tcPr>
            <w:tcW w:w="128" w:type="dxa"/>
            <w:tcBorders/>
            <w:shd w:fill="CCEEFF" w:val="clear"/>
            <w:vAlign w:val="bottom"/>
          </w:tcPr>
          <w:p>
            <w:pPr>
              <w:pStyle w:val="TableContents"/>
              <w:spacing w:before="0" w:after="283"/>
              <w:rPr/>
            </w:pPr>
            <w:r>
              <w:rPr/>
              <w:t>  </w:t>
            </w:r>
          </w:p>
        </w:tc>
      </w:tr>
      <w:tr>
        <w:trPr/>
        <w:tc>
          <w:tcPr>
            <w:tcW w:w="5241"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164,700</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128,170</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w:t>
            </w:r>
          </w:p>
        </w:tc>
        <w:tc>
          <w:tcPr>
            <w:tcW w:w="128" w:type="dxa"/>
            <w:tcBorders/>
            <w:shd w:fill="auto" w:val="clear"/>
            <w:vAlign w:val="bottom"/>
          </w:tcPr>
          <w:p>
            <w:pPr>
              <w:pStyle w:val="TableContents"/>
              <w:spacing w:before="0" w:after="283"/>
              <w:rPr/>
            </w:pPr>
            <w:r>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Exercised</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(49,487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28" w:type="dxa"/>
            <w:tcBorders/>
            <w:shd w:fill="CCEEFF" w:val="clear"/>
            <w:vAlign w:val="bottom"/>
          </w:tcPr>
          <w:p>
            <w:pPr>
              <w:pStyle w:val="TableContents"/>
              <w:spacing w:before="0" w:after="283"/>
              <w:rPr/>
            </w:pPr>
            <w:r>
              <w:rPr/>
              <w:t>  </w:t>
            </w:r>
          </w:p>
        </w:tc>
      </w:tr>
      <w:tr>
        <w:trPr/>
        <w:tc>
          <w:tcPr>
            <w:tcW w:w="5241" w:type="dxa"/>
            <w:tcBorders/>
            <w:shd w:fill="auto" w:val="clear"/>
          </w:tcPr>
          <w:p>
            <w:pPr>
              <w:pStyle w:val="TableContents"/>
              <w:spacing w:before="0" w:after="283"/>
              <w:rPr>
                <w:rFonts w:ascii="Times New Roman" w:hAnsi="Times New Roman"/>
                <w:sz w:val="20"/>
              </w:rPr>
            </w:pPr>
            <w:r>
              <w:rPr>
                <w:rFonts w:ascii="Times New Roman" w:hAnsi="Times New Roman"/>
                <w:sz w:val="20"/>
              </w:rPr>
              <w:t>Forfeited and cancelled</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(252,574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110.81</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(46,549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729.70</w:t>
            </w:r>
          </w:p>
        </w:tc>
        <w:tc>
          <w:tcPr>
            <w:tcW w:w="128" w:type="dxa"/>
            <w:tcBorders/>
            <w:shd w:fill="auto" w:val="clear"/>
            <w:vAlign w:val="bottom"/>
          </w:tcPr>
          <w:p>
            <w:pPr>
              <w:pStyle w:val="TableContents"/>
              <w:spacing w:before="0" w:after="283"/>
              <w:rPr/>
            </w:pPr>
            <w:r>
              <w:rPr/>
              <w:t>  </w:t>
            </w:r>
          </w:p>
        </w:tc>
      </w:tr>
      <w:tr>
        <w:trPr/>
        <w:tc>
          <w:tcPr>
            <w:tcW w:w="5241"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77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73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7"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outstanding, end of period</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864,238</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953,238</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31.87</w:t>
            </w:r>
          </w:p>
        </w:tc>
        <w:tc>
          <w:tcPr>
            <w:tcW w:w="128" w:type="dxa"/>
            <w:tcBorders/>
            <w:shd w:fill="CCEEFF" w:val="clear"/>
            <w:vAlign w:val="bottom"/>
          </w:tcPr>
          <w:p>
            <w:pPr>
              <w:pStyle w:val="TableContents"/>
              <w:spacing w:before="0" w:after="283"/>
              <w:rPr/>
            </w:pPr>
            <w:r>
              <w:rPr/>
              <w:t>  </w:t>
            </w:r>
          </w:p>
        </w:tc>
      </w:tr>
      <w:tr>
        <w:trPr/>
        <w:tc>
          <w:tcPr>
            <w:tcW w:w="5241"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7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3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7"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241" w:type="dxa"/>
            <w:tcBorders/>
            <w:shd w:fill="auto" w:val="clear"/>
          </w:tcPr>
          <w:p>
            <w:pPr>
              <w:pStyle w:val="TableContents"/>
              <w:spacing w:before="0" w:after="283"/>
              <w:rPr>
                <w:rFonts w:ascii="Times New Roman" w:hAnsi="Times New Roman"/>
                <w:sz w:val="20"/>
              </w:rPr>
            </w:pPr>
            <w:r>
              <w:rPr>
                <w:rFonts w:ascii="Times New Roman" w:hAnsi="Times New Roman"/>
                <w:sz w:val="20"/>
              </w:rPr>
              <w:t>Options exercisable, end of period</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616,148</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676,972</w:t>
            </w:r>
          </w:p>
        </w:tc>
        <w:tc>
          <w:tcPr>
            <w:tcW w:w="125"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43.49</w:t>
            </w:r>
          </w:p>
        </w:tc>
        <w:tc>
          <w:tcPr>
            <w:tcW w:w="128" w:type="dxa"/>
            <w:tcBorders/>
            <w:shd w:fill="auto" w:val="clear"/>
            <w:vAlign w:val="bottom"/>
          </w:tcPr>
          <w:p>
            <w:pPr>
              <w:pStyle w:val="TableContents"/>
              <w:spacing w:before="0" w:after="283"/>
              <w:rPr/>
            </w:pPr>
            <w:r>
              <w:rPr/>
              <w:t>  </w:t>
            </w:r>
          </w:p>
        </w:tc>
      </w:tr>
      <w:tr>
        <w:trPr/>
        <w:tc>
          <w:tcPr>
            <w:tcW w:w="5241"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7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3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7"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241"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vested and expected to vest</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847,425</w:t>
            </w:r>
          </w:p>
        </w:tc>
        <w:tc>
          <w:tcPr>
            <w:tcW w:w="125"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3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5241"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7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The total intrinsic value of options exercised for the years ended December 31, 2011 and 2010 was $1,000 and $208,000, respectively. As of December 31, 2011, the unrecognized compensation expense related to unvested options, excluding estimated forfeitures, was $ 464,000, which compensation expense is expected to be recognized over a weighted average period of 1.8 years. The Company recognizes compensation costs for its share-based awards on a straight-line basis over the requisite service period for the entire award, as adjusted for expected forfeitures.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summarizes information about stock options outstanding and exercisable as of December 31, 2011: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80"/>
        <w:gridCol w:w="567"/>
        <w:gridCol w:w="61"/>
        <w:gridCol w:w="712"/>
        <w:gridCol w:w="120"/>
        <w:gridCol w:w="567"/>
        <w:gridCol w:w="100"/>
        <w:gridCol w:w="658"/>
        <w:gridCol w:w="120"/>
        <w:gridCol w:w="567"/>
        <w:gridCol w:w="125"/>
        <w:gridCol w:w="619"/>
        <w:gridCol w:w="120"/>
        <w:gridCol w:w="567"/>
        <w:gridCol w:w="60"/>
        <w:gridCol w:w="700"/>
        <w:gridCol w:w="120"/>
        <w:gridCol w:w="567"/>
        <w:gridCol w:w="125"/>
        <w:gridCol w:w="619"/>
        <w:gridCol w:w="131"/>
      </w:tblGrid>
      <w:tr>
        <w:trPr/>
        <w:tc>
          <w:tcPr>
            <w:tcW w:w="298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298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364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Options Outstanding</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219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Options Exercisable</w:t>
            </w:r>
          </w:p>
        </w:tc>
        <w:tc>
          <w:tcPr>
            <w:tcW w:w="131" w:type="dxa"/>
            <w:tcBorders/>
            <w:shd w:fill="auto" w:val="clear"/>
            <w:vAlign w:val="bottom"/>
          </w:tcPr>
          <w:p>
            <w:pPr>
              <w:pStyle w:val="TableContents"/>
              <w:spacing w:before="0" w:after="283"/>
              <w:rPr/>
            </w:pPr>
            <w:r>
              <w:rPr/>
              <w:t> </w:t>
            </w:r>
          </w:p>
        </w:tc>
      </w:tr>
      <w:tr>
        <w:trPr/>
        <w:tc>
          <w:tcPr>
            <w:tcW w:w="2980" w:type="dxa"/>
            <w:tcBorders/>
            <w:shd w:fill="auto" w:val="clear"/>
            <w:vAlign w:val="bottom"/>
          </w:tcPr>
          <w:p>
            <w:pPr>
              <w:pStyle w:val="TableContents"/>
              <w:pBdr>
                <w:bottom w:val="single" w:sz="2" w:space="1" w:color="000000"/>
              </w:pBdr>
              <w:spacing w:before="0" w:after="283"/>
              <w:jc w:val="center"/>
              <w:rPr/>
            </w:pPr>
            <w:r>
              <w:rPr/>
              <w:t>  </w:t>
            </w:r>
            <w:r>
              <w:rPr>
                <w:rFonts w:ascii="Times New Roman" w:hAnsi="Times New Roman"/>
                <w:b/>
                <w:sz w:val="14"/>
              </w:rPr>
              <w:t>Range of Exercise Prices  </w:t>
            </w:r>
          </w:p>
        </w:tc>
        <w:tc>
          <w:tcPr>
            <w:tcW w:w="567" w:type="dxa"/>
            <w:tcBorders/>
            <w:shd w:fill="auto" w:val="clear"/>
            <w:vAlign w:val="bottom"/>
          </w:tcPr>
          <w:p>
            <w:pPr>
              <w:pStyle w:val="TableContents"/>
              <w:spacing w:before="0" w:after="283"/>
              <w:rPr/>
            </w:pPr>
            <w:r>
              <w:rPr/>
              <w:t>  </w:t>
            </w:r>
          </w:p>
        </w:tc>
        <w:tc>
          <w:tcPr>
            <w:tcW w:w="7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Outstanding</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7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Remaining</w:t>
              <w:br/>
              <w:t>Contractual</w:t>
              <w:br/>
              <w:t>Term</w:t>
              <w:br/>
              <w:t>(in years)</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7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Exercisable</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131"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283"/>
              <w:rPr>
                <w:rFonts w:ascii="Times New Roman" w:hAnsi="Times New Roman"/>
                <w:sz w:val="20"/>
              </w:rPr>
            </w:pPr>
            <w:r>
              <w:rPr>
                <w:rFonts w:ascii="Times New Roman" w:hAnsi="Times New Roman"/>
                <w:sz w:val="20"/>
              </w:rPr>
              <w:t>$  0.06  -  $   0.60</w:t>
            </w:r>
          </w:p>
        </w:tc>
        <w:tc>
          <w:tcPr>
            <w:tcW w:w="56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7,488</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7,488</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31" w:type="dxa"/>
            <w:tcBorders/>
            <w:shd w:fill="CCEEFF" w:val="clear"/>
            <w:vAlign w:val="bottom"/>
          </w:tcPr>
          <w:p>
            <w:pPr>
              <w:pStyle w:val="TableContents"/>
              <w:spacing w:before="0" w:after="283"/>
              <w:rPr/>
            </w:pPr>
            <w:r>
              <w:rPr/>
              <w:t>  </w:t>
            </w:r>
          </w:p>
        </w:tc>
      </w:tr>
      <w:tr>
        <w:trPr/>
        <w:tc>
          <w:tcPr>
            <w:tcW w:w="2980" w:type="dxa"/>
            <w:tcBorders/>
            <w:shd w:fill="auto" w:val="clear"/>
          </w:tcPr>
          <w:p>
            <w:pPr>
              <w:pStyle w:val="TableContents"/>
              <w:spacing w:before="0" w:after="283"/>
              <w:rPr/>
            </w:pPr>
            <w:r>
              <w:rPr/>
              <w:t>    </w:t>
            </w:r>
            <w:r>
              <w:rPr>
                <w:rFonts w:ascii="Times New Roman" w:hAnsi="Times New Roman"/>
                <w:sz w:val="20"/>
              </w:rPr>
              <w:t>0.90  -       0.90</w:t>
            </w:r>
          </w:p>
        </w:tc>
        <w:tc>
          <w:tcPr>
            <w:tcW w:w="56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203,065</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203,065</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31"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283"/>
              <w:rPr/>
            </w:pPr>
            <w:r>
              <w:rPr/>
              <w:t>    </w:t>
            </w:r>
            <w:r>
              <w:rPr>
                <w:rFonts w:ascii="Times New Roman" w:hAnsi="Times New Roman"/>
                <w:sz w:val="20"/>
              </w:rPr>
              <w:t>1.68  -       1.86</w:t>
            </w:r>
          </w:p>
        </w:tc>
        <w:tc>
          <w:tcPr>
            <w:tcW w:w="56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100,093</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95,829</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31" w:type="dxa"/>
            <w:tcBorders/>
            <w:shd w:fill="CCEEFF" w:val="clear"/>
            <w:vAlign w:val="bottom"/>
          </w:tcPr>
          <w:p>
            <w:pPr>
              <w:pStyle w:val="TableContents"/>
              <w:spacing w:before="0" w:after="283"/>
              <w:rPr/>
            </w:pPr>
            <w:r>
              <w:rPr/>
              <w:t>  </w:t>
            </w:r>
          </w:p>
        </w:tc>
      </w:tr>
      <w:tr>
        <w:trPr/>
        <w:tc>
          <w:tcPr>
            <w:tcW w:w="2980" w:type="dxa"/>
            <w:tcBorders/>
            <w:shd w:fill="auto" w:val="clear"/>
          </w:tcPr>
          <w:p>
            <w:pPr>
              <w:pStyle w:val="TableContents"/>
              <w:spacing w:before="0" w:after="283"/>
              <w:rPr/>
            </w:pPr>
            <w:r>
              <w:rPr/>
              <w:t>    </w:t>
            </w:r>
            <w:r>
              <w:rPr>
                <w:rFonts w:ascii="Times New Roman" w:hAnsi="Times New Roman"/>
                <w:sz w:val="20"/>
              </w:rPr>
              <w:t>2.24  -       2.24</w:t>
            </w:r>
          </w:p>
        </w:tc>
        <w:tc>
          <w:tcPr>
            <w:tcW w:w="56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164,700</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9.38</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32,017</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31"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283"/>
              <w:rPr/>
            </w:pPr>
            <w:r>
              <w:rPr/>
              <w:t>    </w:t>
            </w:r>
            <w:r>
              <w:rPr>
                <w:rFonts w:ascii="Times New Roman" w:hAnsi="Times New Roman"/>
                <w:sz w:val="20"/>
              </w:rPr>
              <w:t>2.69  -       2.90</w:t>
            </w:r>
          </w:p>
        </w:tc>
        <w:tc>
          <w:tcPr>
            <w:tcW w:w="56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167,895</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109,765</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31" w:type="dxa"/>
            <w:tcBorders/>
            <w:shd w:fill="CCEEFF" w:val="clear"/>
            <w:vAlign w:val="bottom"/>
          </w:tcPr>
          <w:p>
            <w:pPr>
              <w:pStyle w:val="TableContents"/>
              <w:spacing w:before="0" w:after="283"/>
              <w:rPr/>
            </w:pPr>
            <w:r>
              <w:rPr/>
              <w:t>  </w:t>
            </w:r>
          </w:p>
        </w:tc>
      </w:tr>
      <w:tr>
        <w:trPr/>
        <w:tc>
          <w:tcPr>
            <w:tcW w:w="2980" w:type="dxa"/>
            <w:tcBorders/>
            <w:shd w:fill="auto" w:val="clear"/>
          </w:tcPr>
          <w:p>
            <w:pPr>
              <w:pStyle w:val="TableContents"/>
              <w:spacing w:before="0" w:after="283"/>
              <w:rPr/>
            </w:pPr>
            <w:r>
              <w:rPr/>
              <w:t>    </w:t>
            </w:r>
            <w:r>
              <w:rPr>
                <w:rFonts w:ascii="Times New Roman" w:hAnsi="Times New Roman"/>
                <w:sz w:val="20"/>
              </w:rPr>
              <w:t>2.97  -       5.57</w:t>
            </w:r>
          </w:p>
        </w:tc>
        <w:tc>
          <w:tcPr>
            <w:tcW w:w="56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217,208</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7.26</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164,195</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131"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283"/>
              <w:rPr/>
            </w:pPr>
            <w:r>
              <w:rPr/>
              <w:t>  </w:t>
            </w:r>
            <w:r>
              <w:rPr>
                <w:rFonts w:ascii="Times New Roman" w:hAnsi="Times New Roman"/>
                <w:sz w:val="20"/>
              </w:rPr>
              <w:t>14.58  -   318.00</w:t>
            </w:r>
          </w:p>
        </w:tc>
        <w:tc>
          <w:tcPr>
            <w:tcW w:w="56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3,789</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143.19</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3,789</w:t>
            </w:r>
          </w:p>
        </w:tc>
        <w:tc>
          <w:tcPr>
            <w:tcW w:w="12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143.19</w:t>
            </w:r>
          </w:p>
        </w:tc>
        <w:tc>
          <w:tcPr>
            <w:tcW w:w="131" w:type="dxa"/>
            <w:tcBorders/>
            <w:shd w:fill="CCEEFF" w:val="clear"/>
            <w:vAlign w:val="bottom"/>
          </w:tcPr>
          <w:p>
            <w:pPr>
              <w:pStyle w:val="TableContents"/>
              <w:spacing w:before="0" w:after="283"/>
              <w:rPr/>
            </w:pPr>
            <w:r>
              <w:rPr/>
              <w:t>  </w:t>
            </w:r>
          </w:p>
        </w:tc>
      </w:tr>
      <w:tr>
        <w:trPr/>
        <w:tc>
          <w:tcPr>
            <w:tcW w:w="298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283"/>
              <w:rPr/>
            </w:pPr>
            <w:r>
              <w:rPr/>
              <w:t> </w:t>
            </w:r>
          </w:p>
        </w:tc>
        <w:tc>
          <w:tcPr>
            <w:tcW w:w="71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2980" w:type="dxa"/>
            <w:tcBorders/>
            <w:shd w:fill="auto" w:val="clea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864,238</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616,148</w:t>
            </w:r>
          </w:p>
        </w:tc>
        <w:tc>
          <w:tcPr>
            <w:tcW w:w="12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31" w:type="dxa"/>
            <w:tcBorders/>
            <w:shd w:fill="auto" w:val="clear"/>
            <w:vAlign w:val="bottom"/>
          </w:tcPr>
          <w:p>
            <w:pPr>
              <w:pStyle w:val="TableContents"/>
              <w:spacing w:before="0" w:after="283"/>
              <w:rPr/>
            </w:pPr>
            <w:r>
              <w:rPr/>
              <w:t>  </w:t>
            </w:r>
          </w:p>
        </w:tc>
      </w:tr>
      <w:tr>
        <w:trPr/>
        <w:tc>
          <w:tcPr>
            <w:tcW w:w="298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double" w:sz="6" w:space="1" w:color="000000"/>
              </w:pBdr>
              <w:spacing w:before="0" w:after="283"/>
              <w:rPr/>
            </w:pPr>
            <w:r>
              <w:rPr/>
              <w:t> </w:t>
            </w:r>
          </w:p>
        </w:tc>
        <w:tc>
          <w:tcPr>
            <w:tcW w:w="71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For the years ended December 31, 2011 and 2010 and for the period from Inception through December 31, 2011, the Company recognized the following non-cash, share-based compensation expense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80"/>
        <w:gridCol w:w="524"/>
        <w:gridCol w:w="125"/>
        <w:gridCol w:w="339"/>
        <w:gridCol w:w="120"/>
        <w:gridCol w:w="524"/>
        <w:gridCol w:w="125"/>
        <w:gridCol w:w="339"/>
        <w:gridCol w:w="120"/>
        <w:gridCol w:w="524"/>
        <w:gridCol w:w="250"/>
        <w:gridCol w:w="979"/>
        <w:gridCol w:w="123"/>
      </w:tblGrid>
      <w:tr>
        <w:trPr/>
        <w:tc>
          <w:tcPr>
            <w:tcW w:w="4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57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w:t>
              <w:br/>
              <w:t>December 31,</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Period from</w:t>
              <w:br/>
              <w:t>December 17, 2001</w:t>
              <w:br/>
              <w:t>(date of inception)</w:t>
              <w:br/>
              <w:t>to December 31,</w:t>
            </w:r>
          </w:p>
        </w:tc>
        <w:tc>
          <w:tcPr>
            <w:tcW w:w="123"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4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4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3"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Research and Development</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0"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20"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3"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1,399</w:t>
            </w:r>
          </w:p>
        </w:tc>
        <w:tc>
          <w:tcPr>
            <w:tcW w:w="123"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Restructuring Expense</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123"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pBdr>
                <w:top w:val="single" w:sz="2" w:space="1" w:color="000000"/>
              </w:pBdr>
              <w:spacing w:before="0" w:after="283"/>
              <w:rPr/>
            </w:pPr>
            <w:r>
              <w:rPr/>
              <w:t> </w:t>
            </w:r>
          </w:p>
        </w:tc>
        <w:tc>
          <w:tcPr>
            <w:tcW w:w="979"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w:t>
            </w:r>
          </w:p>
        </w:tc>
        <w:tc>
          <w:tcPr>
            <w:tcW w:w="120"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2,282</w:t>
            </w:r>
          </w:p>
        </w:tc>
        <w:tc>
          <w:tcPr>
            <w:tcW w:w="123"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33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33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pBdr>
                <w:top w:val="double" w:sz="6" w:space="1" w:color="000000"/>
              </w:pBdr>
              <w:spacing w:before="0" w:after="283"/>
              <w:rPr/>
            </w:pPr>
            <w:r>
              <w:rPr/>
              <w:t> </w:t>
            </w:r>
          </w:p>
        </w:tc>
        <w:tc>
          <w:tcPr>
            <w:tcW w:w="979"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Stock-based compensation expense related to non-employees was negligible in 2011 and 2010. ARCA did not recognize any tax benefit related to employee stock-based compensation cost as a result of the full valuation allowance on its net deferred tax assets. </w:t>
      </w:r>
    </w:p>
    <w:p>
      <w:pPr>
        <w:pStyle w:val="TextBody"/>
        <w:spacing w:before="270" w:after="0"/>
        <w:rPr>
          <w:rFonts w:ascii="Times New Roman" w:hAnsi="Times New Roman"/>
          <w:b/>
          <w:sz w:val="20"/>
        </w:rPr>
      </w:pPr>
      <w:r>
        <w:rPr>
          <w:rFonts w:ascii="Times New Roman" w:hAnsi="Times New Roman"/>
          <w:b/>
          <w:sz w:val="20"/>
        </w:rPr>
        <w:t xml:space="preserve">(12) Employee Benefit Plans </w:t>
      </w:r>
    </w:p>
    <w:p>
      <w:pPr>
        <w:pStyle w:val="TextBody"/>
        <w:spacing w:before="90" w:after="0"/>
        <w:rPr>
          <w:rFonts w:ascii="Times New Roman" w:hAnsi="Times New Roman"/>
          <w:sz w:val="20"/>
        </w:rPr>
      </w:pPr>
      <w:r>
        <w:rPr>
          <w:rFonts w:ascii="Times New Roman" w:hAnsi="Times New Roman"/>
          <w:sz w:val="20"/>
        </w:rPr>
        <w:t xml:space="preserve">The Company has a 401(k) plan and makes a matching contribution equal to 100% of the employees first 3% of the employees contributions and 50% of the employees next 2% of contributions. The Company adopted the plan in 2006 and contributed $80,000 and $109,000 for the years ended December 31, 2011 and 2010, respectively, and has contributed $583,000 from Inception through December 31, 2011. </w:t>
      </w:r>
    </w:p>
    <w:p>
      <w:pPr>
        <w:pStyle w:val="TextBody"/>
        <w:spacing w:before="270" w:after="0"/>
        <w:rPr>
          <w:rFonts w:ascii="Times New Roman" w:hAnsi="Times New Roman"/>
          <w:b/>
          <w:sz w:val="20"/>
        </w:rPr>
      </w:pPr>
      <w:r>
        <w:rPr>
          <w:rFonts w:ascii="Times New Roman" w:hAnsi="Times New Roman"/>
          <w:b/>
          <w:sz w:val="20"/>
        </w:rPr>
        <w:t xml:space="preserve">(13) Income Taxes </w:t>
      </w:r>
    </w:p>
    <w:p>
      <w:pPr>
        <w:pStyle w:val="TextBody"/>
        <w:spacing w:before="90" w:after="0"/>
        <w:rPr>
          <w:rFonts w:ascii="Times New Roman" w:hAnsi="Times New Roman"/>
          <w:sz w:val="20"/>
        </w:rPr>
      </w:pPr>
      <w:r>
        <w:rPr>
          <w:rFonts w:ascii="Times New Roman" w:hAnsi="Times New Roman"/>
          <w:sz w:val="20"/>
        </w:rPr>
        <w:t xml:space="preserve">Effective June 1, 2005, the Company changed from an S-Corporation to a C-Corporation. As an S-Corporation, the net operating loss carryforwards were distributed to the Companys stockholders; such amounts were not significant. Since June 2005 through December 31, 2011, for federal income tax purposes, the Company has net operating loss carryforwards of approximately $94.0 million, and approximately $687,000 of research and development credits that may be used to offset future taxable income. The net operating loss carryforwards will expire beginning 2025 through 2031. Utilization of net operating losses and tax credits, including those acquired as a result of the Merger, will be subject to an annual limitation due to ownership change limitations provided by IRC Section 382. The annual limitation may result in the expiration of the net operating losses and credits before utilization. As such, a portion of the Companys net operating loss carryforwards may be limited.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the scheduled reversal of deferred tax liabilities, projected future taxable income and tax planning strategies in making this assessment. Due primarily to the Companys history of operating losses, management is unable to conclude that it is more likely than not that the Company will realize the benefits of these deductible differences, and accordingly has provided a valuation allowance against the entire net deferred tax asset of approximately $40.8 million at December 31, 2011, reflecting an increase of approximately $2.0 million from December 31, 2010. The deferred tax assets are primarily comprised of net operating loss carryforwards and research and experimentation credit carryforwards. As of December 31, 2011 the Company has not performed a Section 382 limitation study. Depending on the outcome of such a study, the gross amount of net operating losses recognizable in future tax periods could be limited. A limitation in the carryforwards would decrease the carrying amount of the gross amount of the net operating loss carryforwards, with a corresponding decrease in the valuation allowance recorded against these gross deferred tax assets. </w:t>
      </w:r>
    </w:p>
    <w:p>
      <w:pPr>
        <w:pStyle w:val="TextBody"/>
        <w:spacing w:before="180" w:after="0"/>
        <w:rPr>
          <w:rFonts w:ascii="Times New Roman" w:hAnsi="Times New Roman"/>
          <w:sz w:val="20"/>
        </w:rPr>
      </w:pPr>
      <w:r>
        <w:rPr>
          <w:rFonts w:ascii="Times New Roman" w:hAnsi="Times New Roman"/>
          <w:sz w:val="20"/>
        </w:rPr>
        <w:t xml:space="preserve">Income tax benefit attributable to our loss from operations before income taxes differs from the amounts computed by applying the U.S. federal statutory income tax rate of 35%, as a result of the following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866"/>
        <w:gridCol w:w="451"/>
        <w:gridCol w:w="160"/>
        <w:gridCol w:w="707"/>
        <w:gridCol w:w="125"/>
        <w:gridCol w:w="451"/>
        <w:gridCol w:w="150"/>
        <w:gridCol w:w="715"/>
        <w:gridCol w:w="130"/>
      </w:tblGrid>
      <w:tr>
        <w:trPr/>
        <w:tc>
          <w:tcPr>
            <w:tcW w:w="486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86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230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30" w:type="dxa"/>
            <w:tcBorders/>
            <w:shd w:fill="auto" w:val="clear"/>
            <w:vAlign w:val="bottom"/>
          </w:tcPr>
          <w:p>
            <w:pPr>
              <w:pStyle w:val="TableContents"/>
              <w:spacing w:before="0" w:after="283"/>
              <w:rPr/>
            </w:pPr>
            <w:r>
              <w:rPr/>
              <w:t> </w:t>
            </w:r>
          </w:p>
        </w:tc>
      </w:tr>
      <w:tr>
        <w:trPr/>
        <w:tc>
          <w:tcPr>
            <w:tcW w:w="486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6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5"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6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130" w:type="dxa"/>
            <w:tcBorders/>
            <w:shd w:fill="auto" w:val="clear"/>
            <w:vAlign w:val="bottom"/>
          </w:tcPr>
          <w:p>
            <w:pPr>
              <w:pStyle w:val="TableContents"/>
              <w:spacing w:before="0" w:after="283"/>
              <w:rPr/>
            </w:pPr>
            <w:r>
              <w:rPr/>
              <w:t> </w:t>
            </w:r>
          </w:p>
        </w:tc>
      </w:tr>
      <w:tr>
        <w:trPr/>
        <w:tc>
          <w:tcPr>
            <w:tcW w:w="4866" w:type="dxa"/>
            <w:tcBorders/>
            <w:shd w:fill="CCEEFF" w:val="clear"/>
          </w:tcPr>
          <w:p>
            <w:pPr>
              <w:pStyle w:val="TableContents"/>
              <w:spacing w:before="0" w:after="283"/>
              <w:rPr>
                <w:rFonts w:ascii="Times New Roman" w:hAnsi="Times New Roman"/>
                <w:sz w:val="20"/>
              </w:rPr>
            </w:pPr>
            <w:r>
              <w:rPr>
                <w:rFonts w:ascii="Times New Roman" w:hAnsi="Times New Roman"/>
                <w:sz w:val="20"/>
              </w:rPr>
              <w:t>U.S. federal income tax benefit at statutory rates</w:t>
            </w:r>
          </w:p>
        </w:tc>
        <w:tc>
          <w:tcPr>
            <w:tcW w:w="45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(2,947</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6" w:type="dxa"/>
            <w:tcBorders/>
            <w:shd w:fill="auto" w:val="clear"/>
          </w:tcPr>
          <w:p>
            <w:pPr>
              <w:pStyle w:val="TableContents"/>
              <w:spacing w:before="0" w:after="283"/>
              <w:rPr>
                <w:rFonts w:ascii="Times New Roman" w:hAnsi="Times New Roman"/>
                <w:sz w:val="20"/>
              </w:rPr>
            </w:pPr>
            <w:r>
              <w:rPr>
                <w:rFonts w:ascii="Times New Roman" w:hAnsi="Times New Roman"/>
                <w:sz w:val="20"/>
              </w:rPr>
              <w:t>State income tax benefit, net of federal benefit</w:t>
            </w:r>
          </w:p>
        </w:tc>
        <w:tc>
          <w:tcPr>
            <w:tcW w:w="45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6" w:type="dxa"/>
            <w:tcBorders/>
            <w:shd w:fill="CCEEFF" w:val="clear"/>
          </w:tcPr>
          <w:p>
            <w:pPr>
              <w:pStyle w:val="TableContents"/>
              <w:spacing w:before="0" w:after="283"/>
              <w:rPr>
                <w:rFonts w:ascii="Times New Roman" w:hAnsi="Times New Roman"/>
                <w:sz w:val="20"/>
              </w:rPr>
            </w:pPr>
            <w:r>
              <w:rPr>
                <w:rFonts w:ascii="Times New Roman" w:hAnsi="Times New Roman"/>
                <w:sz w:val="20"/>
              </w:rPr>
              <w:t>Research and experimentation credits</w:t>
            </w:r>
          </w:p>
        </w:tc>
        <w:tc>
          <w:tcPr>
            <w:tcW w:w="45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6" w:type="dxa"/>
            <w:tcBorders/>
            <w:shd w:fill="auto" w:val="clear"/>
          </w:tcPr>
          <w:p>
            <w:pPr>
              <w:pStyle w:val="TableContents"/>
              <w:spacing w:before="0" w:after="283"/>
              <w:rPr>
                <w:rFonts w:ascii="Times New Roman" w:hAnsi="Times New Roman"/>
                <w:sz w:val="20"/>
              </w:rPr>
            </w:pPr>
            <w:r>
              <w:rPr>
                <w:rFonts w:ascii="Times New Roman" w:hAnsi="Times New Roman"/>
                <w:sz w:val="20"/>
              </w:rPr>
              <w:t>Settlement of liabilities assumed in the Merger</w:t>
            </w:r>
          </w:p>
        </w:tc>
        <w:tc>
          <w:tcPr>
            <w:tcW w:w="45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(5,273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6"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 in tax basis of tangible and intangible assets acquired in the Merger</w:t>
            </w:r>
          </w:p>
        </w:tc>
        <w:tc>
          <w:tcPr>
            <w:tcW w:w="45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6"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5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25"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6"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valuation allowance</w:t>
            </w:r>
          </w:p>
        </w:tc>
        <w:tc>
          <w:tcPr>
            <w:tcW w:w="45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w:t>
            </w:r>
          </w:p>
        </w:tc>
        <w:tc>
          <w:tcPr>
            <w:tcW w:w="125"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10,396</w:t>
            </w:r>
          </w:p>
        </w:tc>
        <w:tc>
          <w:tcPr>
            <w:tcW w:w="130" w:type="dxa"/>
            <w:tcBorders/>
            <w:shd w:fill="CCEEFF" w:val="clear"/>
            <w:vAlign w:val="bottom"/>
          </w:tcPr>
          <w:p>
            <w:pPr>
              <w:pStyle w:val="TableContents"/>
              <w:spacing w:before="0" w:after="283"/>
              <w:rPr/>
            </w:pPr>
            <w:r>
              <w:rPr/>
              <w:t>  </w:t>
            </w:r>
          </w:p>
        </w:tc>
      </w:tr>
      <w:tr>
        <w:trPr/>
        <w:tc>
          <w:tcPr>
            <w:tcW w:w="486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866" w:type="dxa"/>
            <w:tcBorders/>
            <w:shd w:fill="auto" w:val="clea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86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283"/>
              <w:rPr/>
            </w:pPr>
            <w:r>
              <w:rPr/>
              <w:t> </w:t>
            </w:r>
          </w:p>
        </w:tc>
        <w:tc>
          <w:tcPr>
            <w:tcW w:w="70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double" w:sz="6" w:space="1" w:color="000000"/>
              </w:pBdr>
              <w:spacing w:before="0" w:after="283"/>
              <w:rPr/>
            </w:pPr>
            <w:r>
              <w:rPr/>
              <w:t> </w:t>
            </w:r>
          </w:p>
        </w:tc>
        <w:tc>
          <w:tcPr>
            <w:tcW w:w="71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Without regard to the deferred tax liability on the impaired IPR&amp;D, the Company has had no provision for income taxes since inception due to its S-corporation status and its subsequent net operating losses.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Deferred income taxes reflect the net tax effects of temporary differences between the carrying amounts of assets and liabilities for financial reporting and the amounts used for income tax purposes, as well as operating loss and tax credit carryforwards. The income tax effects of temporary differences and carryforwards that give rise to significant portions of the Companys net deferred tax assets are as follows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631"/>
        <w:gridCol w:w="524"/>
        <w:gridCol w:w="125"/>
        <w:gridCol w:w="657"/>
        <w:gridCol w:w="125"/>
        <w:gridCol w:w="415"/>
        <w:gridCol w:w="125"/>
        <w:gridCol w:w="657"/>
        <w:gridCol w:w="129"/>
      </w:tblGrid>
      <w:tr>
        <w:trPr/>
        <w:tc>
          <w:tcPr>
            <w:tcW w:w="663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6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7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7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9" w:type="dxa"/>
            <w:tcBorders/>
            <w:shd w:fill="auto" w:val="clear"/>
            <w:vAlign w:val="bottom"/>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Current deferred tax assets: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Vacation accrual</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deferred tax assets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9" w:type="dxa"/>
            <w:tcBorders/>
            <w:shd w:fill="auto" w:val="clear"/>
            <w:vAlign w:val="bottom"/>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Valuation allowance</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Net current deferred tax assets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deferred tax assets: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Net operating loss carryforwards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35,751</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33,807</w:t>
            </w:r>
          </w:p>
        </w:tc>
        <w:tc>
          <w:tcPr>
            <w:tcW w:w="129" w:type="dxa"/>
            <w:tcBorders/>
            <w:shd w:fill="auto" w:val="clear"/>
            <w:vAlign w:val="bottom"/>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Charitable contribution carryforwards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Research and experimentation credits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129" w:type="dxa"/>
            <w:tcBorders/>
            <w:shd w:fill="auto" w:val="clear"/>
            <w:vAlign w:val="bottom"/>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Capitalized intangibles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3,432</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3,480</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Stock based compensation</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29" w:type="dxa"/>
            <w:tcBorders/>
            <w:shd w:fill="auto" w:val="clear"/>
            <w:vAlign w:val="bottom"/>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29" w:type="dxa"/>
            <w:tcBorders/>
            <w:shd w:fill="auto"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Total noncurrent deferred tax assets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40,774</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38,890</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Valuation allowance</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(38,890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Net noncurrent deferred tax assets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liabilities: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liabilities: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Total noncurrent deferred tax liabilities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Valuation allowance</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9" w:type="dxa"/>
            <w:tcBorders/>
            <w:shd w:fill="auto"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tax liabilities</w:t>
            </w:r>
          </w:p>
        </w:tc>
        <w:tc>
          <w:tcPr>
            <w:tcW w:w="5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31" w:type="dxa"/>
            <w:tcBorders/>
            <w:shd w:fill="auto" w:val="clear"/>
          </w:tcPr>
          <w:p>
            <w:pPr>
              <w:pStyle w:val="TableContents"/>
              <w:spacing w:before="0" w:after="283"/>
              <w:rPr>
                <w:rFonts w:ascii="Times New Roman" w:hAnsi="Times New Roman"/>
                <w:sz w:val="20"/>
              </w:rPr>
            </w:pPr>
            <w:r>
              <w:rPr>
                <w:rFonts w:ascii="Times New Roman" w:hAnsi="Times New Roman"/>
                <w:sz w:val="20"/>
              </w:rPr>
              <w:t>Net noncurrent deferred tax assets</w:t>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631"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Since the Company is in a loss carryforward position, the Company is generally subject to U.S. federal and state income tax examinations by tax authorities for all years for which a loss carryforward is available. Thus, the Companys open tax years extend back to 2005. The Company believes that its tax filing positions and deductions related to tax periods subject to examination will be sustained upon audit and does not anticipate any adjustment will result in a material adverse effect on the Companys financial condition, result of operations, or cash flow. For the years ended December 31, 2011 and 2010, the Company has no reserve for uncertain tax positions. The Company does not expect that the total amounts of unrecognized tax benefits will significantly increase or decrease within the subsequent twelve months. In the event the Company concludes it is subject to interest or penalties arising from uncertain tax positions, the Company will record interest and penalties as a component of other income and expense. No amounts of interest or penalties were recognized in the financial statements for the years ended December 31, 2011 and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0" w:name="tx280818_18"/>
            <w:bookmarkEnd w:id="20"/>
            <w:r>
              <w:rPr>
                <w:rFonts w:ascii="Times New Roman" w:hAnsi="Times New Roman"/>
                <w:b/>
                <w:sz w:val="20"/>
              </w:rPr>
              <w:t>Item 9.</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Changes in and Disagreements with Accountants on Accounting and Financial Disclosure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1" w:name="tx280818_19"/>
            <w:bookmarkEnd w:id="21"/>
            <w:r>
              <w:rPr>
                <w:rFonts w:ascii="Times New Roman" w:hAnsi="Times New Roman"/>
                <w:b/>
                <w:sz w:val="20"/>
              </w:rPr>
              <w:t>Item 9A.</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Controls and Procedures</w:t>
            </w:r>
            <w:r>
              <w:rPr>
                <w:rFonts w:ascii="Times New Roman" w:hAnsi="Times New Roman"/>
                <w:sz w:val="20"/>
              </w:rPr>
              <w:t xml:space="preserve"> </w:t>
            </w:r>
          </w:p>
        </w:tc>
      </w:tr>
    </w:tbl>
    <w:p>
      <w:pPr>
        <w:pStyle w:val="TextBody"/>
        <w:spacing w:before="90" w:after="0"/>
        <w:rPr>
          <w:rFonts w:ascii="Times New Roman" w:hAnsi="Times New Roman"/>
          <w:b/>
          <w:i/>
          <w:sz w:val="20"/>
        </w:rPr>
      </w:pPr>
      <w:r>
        <w:rPr>
          <w:rFonts w:ascii="Times New Roman" w:hAnsi="Times New Roman"/>
          <w:b/>
          <w:i/>
          <w:sz w:val="20"/>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Under the supervision and with the participation of management, including our Chief Executive Officer and our Chief Financial Officer, we have evaluated the effectiveness of the design and operation of our disclosure controls and procedures. Disclosure controls and procedures are controls and procedures that are designed to ensure that information required to be disclosed in our reports filed or submitted under the Exchange Act is recorded, processed, summarized and reported within the time periods specified in the SECs rules and forms. Based on this evaluation, our Chief Executive Officer and Chief Financial Officer have concluded that our disclosure controls and procedures were effective as of the end of the period covered by this annual report. </w:t>
      </w:r>
    </w:p>
    <w:p>
      <w:pPr>
        <w:pStyle w:val="TextBody"/>
        <w:spacing w:before="270" w:after="0"/>
        <w:rPr>
          <w:rFonts w:ascii="Times New Roman" w:hAnsi="Times New Roman"/>
          <w:b/>
          <w:i/>
          <w:sz w:val="20"/>
        </w:rPr>
      </w:pPr>
      <w:r>
        <w:rPr>
          <w:rFonts w:ascii="Times New Roman" w:hAnsi="Times New Roman"/>
          <w:b/>
          <w:i/>
          <w:sz w:val="20"/>
        </w:rPr>
        <w:t xml:space="preserve">Managements Report on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Rules 13a-15(f) and 15(d)-15(f) under the Exchange Act). Our internal control system was designed to provide reasonable assurance to management and our board of directors regarding the preparation and fair presentation of published financial statements. </w:t>
      </w:r>
    </w:p>
    <w:p>
      <w:pPr>
        <w:pStyle w:val="TextBody"/>
        <w:spacing w:before="180" w:after="0"/>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80" w:after="0"/>
        <w:rPr>
          <w:rFonts w:ascii="Times New Roman" w:hAnsi="Times New Roman"/>
          <w:sz w:val="20"/>
        </w:rPr>
      </w:pPr>
      <w:r>
        <w:rPr>
          <w:rFonts w:ascii="Times New Roman" w:hAnsi="Times New Roman"/>
          <w:sz w:val="20"/>
        </w:rPr>
        <w:t xml:space="preserve">Under the supervision and with the participation of management, including our Chief Executive Officer and Chief Financial Officer, we have assessed the effectiveness of our internal control over financial reporting as of December 31, 2011. In making our assessment of internal control over financial reporting, we used the criteria issued in the report Internal Control-Integrated Framework by the Committee of Sponsoring Organizations of the Treadway Commission (COSO). We have concluded that our internal control over financial reporting was effective as of December 31, 2011 based on these criteria. </w:t>
      </w:r>
    </w:p>
    <w:p>
      <w:pPr>
        <w:pStyle w:val="TextBody"/>
        <w:spacing w:before="180" w:after="0"/>
        <w:rPr>
          <w:rFonts w:ascii="Times New Roman" w:hAnsi="Times New Roman"/>
          <w:sz w:val="20"/>
        </w:rPr>
      </w:pPr>
      <w:r>
        <w:rPr>
          <w:rFonts w:ascii="Times New Roman" w:hAnsi="Times New Roman"/>
          <w:sz w:val="20"/>
        </w:rPr>
        <w:t xml:space="preserve">This annual report does not include an attestation report of our independent registered public accounting firm regarding internal control over financial reporting. Managements report was not subject to attestation by our independent registered public accounting firm pursuant to the exemption from Section 404(b) of the Sarbanes-Oxley Act for non-accelerated filers provided by the Dodd-Frank Wall Street Reform and Consumer Protection Act. </w:t>
      </w:r>
    </w:p>
    <w:p>
      <w:pPr>
        <w:pStyle w:val="TextBody"/>
        <w:spacing w:before="270" w:after="0"/>
        <w:rPr>
          <w:rFonts w:ascii="Times New Roman" w:hAnsi="Times New Roman"/>
          <w:b/>
          <w:i/>
          <w:sz w:val="20"/>
        </w:rPr>
      </w:pPr>
      <w:r>
        <w:rPr>
          <w:rFonts w:ascii="Times New Roman" w:hAnsi="Times New Roman"/>
          <w:b/>
          <w:i/>
          <w:sz w:val="20"/>
        </w:rPr>
        <w:t xml:space="preserve">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During the fourth quarter of 2011, there were no changes in our internal control over financial reporting that have materially affected, or are reasonably likely to materially affect, our internal control over financial reporting. </w:t>
      </w:r>
    </w:p>
    <w:p>
      <w:pPr>
        <w:pStyle w:val="TextBody"/>
        <w:spacing w:before="270" w:after="0"/>
        <w:rPr>
          <w:rFonts w:ascii="Times New Roman" w:hAnsi="Times New Roman"/>
          <w:b/>
          <w:i/>
          <w:sz w:val="20"/>
        </w:rPr>
      </w:pPr>
      <w:r>
        <w:rPr>
          <w:rFonts w:ascii="Times New Roman" w:hAnsi="Times New Roman"/>
          <w:b/>
          <w:i/>
          <w:sz w:val="20"/>
        </w:rPr>
        <w:t xml:space="preserve">Limitations on the Effectiveness of Controls </w:t>
      </w:r>
    </w:p>
    <w:p>
      <w:pPr>
        <w:pStyle w:val="TextBody"/>
        <w:spacing w:before="90" w:after="0"/>
        <w:rPr>
          <w:rFonts w:ascii="Times New Roman" w:hAnsi="Times New Roman"/>
          <w:sz w:val="20"/>
        </w:rPr>
      </w:pPr>
      <w:r>
        <w:rPr>
          <w:rFonts w:ascii="Times New Roman" w:hAnsi="Times New Roman"/>
          <w:sz w:val="20"/>
        </w:rPr>
        <w:t xml:space="preserve">Our management, including the Chief Executive Officer and Chief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2" w:name="tx280818_20"/>
            <w:bookmarkEnd w:id="22"/>
            <w:r>
              <w:rPr>
                <w:rFonts w:ascii="Times New Roman" w:hAnsi="Times New Roman"/>
                <w:b/>
                <w:sz w:val="20"/>
              </w:rPr>
              <w:t>Item 9B.</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Other Information</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23" w:name="tx280818_21"/>
            <w:bookmarkEnd w:id="23"/>
            <w:r>
              <w:rPr>
                <w:rFonts w:ascii="Times New Roman" w:hAnsi="Times New Roman"/>
                <w:b/>
                <w:sz w:val="20"/>
              </w:rPr>
              <w:t>Item 10.</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Directors, Executive Officers and Corporate Governance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is incorporated by reference to Election of Board of Directors,  Section 16(a) Beneficial Ownership Reporting Compliance and Executive Officers in our Definitive Proxy Statement to be filed pursuant to Regulation 14A under the Securities Exchange Act of 1934, relating to our 2012 Annual Meeting of Stockholders.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4" w:name="tx280818_22"/>
            <w:bookmarkEnd w:id="24"/>
            <w:r>
              <w:rPr>
                <w:rFonts w:ascii="Times New Roman" w:hAnsi="Times New Roman"/>
                <w:b/>
                <w:sz w:val="20"/>
              </w:rPr>
              <w:t>Item 11.</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Executive Compensation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response to this item is incorporated by reference to Executive Compensation in our Definitive Proxy Statement to be filed pursuant to Regulation 14A under the Exchange Act, relating to our 2012 Annual Meeting of Stockholders.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5" w:name="tx280818_23"/>
            <w:bookmarkEnd w:id="25"/>
            <w:r>
              <w:rPr>
                <w:rFonts w:ascii="Times New Roman" w:hAnsi="Times New Roman"/>
                <w:b/>
                <w:sz w:val="20"/>
              </w:rPr>
              <w:t>Item 12.</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Security Ownership of Certain Beneficial Owners and Management and Related Stockholder Matters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response to this item is incorporated by reference to Equity Compensation Plan Information and Security Ownership of Certain Beneficial Owners and Management in our Definitive Proxy Statement to be filed pursuant to Regulation 14A under the Exchange Act, relating to our 2012 Annual Meeting of Stockholders.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26" w:name="tx280818_24"/>
            <w:bookmarkEnd w:id="26"/>
            <w:r>
              <w:rPr>
                <w:rFonts w:ascii="Times New Roman" w:hAnsi="Times New Roman"/>
                <w:b/>
                <w:sz w:val="20"/>
              </w:rPr>
              <w:t>Item 13.</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Certain Relationships and Related Transactions, and Director Independence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response to this item is incorporated by reference to Certain Relationships and Related Transactions in our Definitive Proxy Statement to be filed pursuant to Regulation 14A under the Securities Exchange Act of 1934, relating to our 2012 Annual Meeting of Stockholders.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7" w:name="tx280818_25"/>
            <w:bookmarkEnd w:id="27"/>
            <w:r>
              <w:rPr>
                <w:rFonts w:ascii="Times New Roman" w:hAnsi="Times New Roman"/>
                <w:b/>
                <w:sz w:val="20"/>
              </w:rPr>
              <w:t>Item 14.</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Principal Accountant Fees and Services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response to this item is incorporated by reference to Ratification of Selection of Independent Auditors in our Definitive Proxy Statement to be filed pursuant to Regulation 14A under the Securities Exchange Act of 1934, relating to our 2012 Annual Meeting of Stockholders.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IV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8" w:name="tx280818_26"/>
            <w:bookmarkEnd w:id="28"/>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Exhibits and Financial Statement Schedules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The following documents are filed as part of this Report:</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Consolidated financial statements filed as part of this Report are listed under Part II, Item 8, page 47 of this Form 10-K.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3"/>
        <w:gridCol w:w="509"/>
        <w:gridCol w:w="8883"/>
      </w:tblGrid>
      <w:tr>
        <w:trPr/>
        <w:tc>
          <w:tcPr>
            <w:tcW w:w="81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schedules are required because either the required information is not present or is not present in amounts sufficient to require submission of the schedule, or because the information required is included in the consolidated financial statements or the notes thereto. </w:t>
            </w:r>
          </w:p>
        </w:tc>
      </w:tr>
    </w:tbl>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Exhibits </w:t>
      </w:r>
    </w:p>
    <w:p>
      <w:pPr>
        <w:pStyle w:val="TextBody"/>
        <w:spacing w:before="90" w:after="0"/>
        <w:rPr>
          <w:rFonts w:ascii="Times New Roman" w:hAnsi="Times New Roman"/>
          <w:sz w:val="20"/>
        </w:rPr>
      </w:pPr>
      <w:r>
        <w:rPr>
          <w:rFonts w:ascii="Times New Roman" w:hAnsi="Times New Roman"/>
          <w:sz w:val="20"/>
        </w:rPr>
        <w:t xml:space="preserve">The following documents are filed as part of this annual report on Form 10-K. We will furnish a copy of any exhibit listed to requesting stockholders upon payment of our reasonable expenses in furnishing those materials.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2"/>
        <w:gridCol w:w="613"/>
        <w:gridCol w:w="9080"/>
      </w:tblGrid>
      <w:tr>
        <w:trPr/>
        <w:tc>
          <w:tcPr>
            <w:tcW w:w="5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9080" w:type="dxa"/>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613" w:type="dxa"/>
            <w:tcBorders/>
            <w:shd w:fill="auto" w:val="clear"/>
            <w:vAlign w:val="bottom"/>
          </w:tcPr>
          <w:p>
            <w:pPr>
              <w:pStyle w:val="TableContents"/>
              <w:spacing w:before="0" w:after="283"/>
              <w:rPr/>
            </w:pPr>
            <w:r>
              <w:rPr/>
              <w:t>  </w:t>
            </w:r>
          </w:p>
        </w:tc>
        <w:tc>
          <w:tcPr>
            <w:tcW w:w="908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2.1</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and Plan of Merger and Reorganization, dated September 24, 2008, among Nuvelo, Inc., Dawn Acquisition Sub, Inc. and ARCA biopharma, Inc.(5)</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2.2</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Agreement and Plan of Merger and Reorganization, dated October 28, 2008, by and among Nuvelo, Inc., Dawn Acquisition Sub, Inc. and ARCA biopharma, Inc.(6)</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3.1</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Certificate of Incorporation of the Registrant, as amended.(8)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3.2</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Amended and Restated Bylaws of the Registrant, as amended.(9)</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Form of Common Stock Certificate.(7)</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Certificate of Designations of Series A Junior Participating Preferred Stock. (included as part of Exhibit 3.1)</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4.3</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July 17, 2007, by and between ARCA Discovery, Inc. and Silicon Valley Bank.(8)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4.4</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SVB Financial Group.(8)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4.5</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August 19, 2008, by and between ARCA biopharma, Inc. and Silicon Valley Bank.(8)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4.6</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SVB Financial Group.(8)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4.7</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Boulder Ventures IV, L.P.(8)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4.8</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Boulder Ventures IV, L.P.(8)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4.9</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Boulder Ventures IV (Annex), L.P.(8)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4.10</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Boulder Ventures IV (Annex), L.P.(8)</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9693"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4.11</w:t>
            </w:r>
          </w:p>
        </w:tc>
        <w:tc>
          <w:tcPr>
            <w:tcW w:w="613" w:type="dxa"/>
            <w:tcBorders/>
            <w:shd w:fill="auto" w:val="clear"/>
            <w:vAlign w:val="bottom"/>
          </w:tcPr>
          <w:p>
            <w:pPr>
              <w:pStyle w:val="TableContents"/>
              <w:spacing w:before="0" w:after="283"/>
              <w:rPr/>
            </w:pPr>
            <w:r>
              <w:rPr/>
              <w:t>  </w:t>
            </w:r>
          </w:p>
        </w:tc>
        <w:tc>
          <w:tcPr>
            <w:tcW w:w="9080"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InterWest Partners IX, LP.(8)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31"/>
        <w:gridCol w:w="307"/>
        <w:gridCol w:w="9167"/>
      </w:tblGrid>
      <w:tr>
        <w:trPr/>
        <w:tc>
          <w:tcPr>
            <w:tcW w:w="73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9167" w:type="dxa"/>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307" w:type="dxa"/>
            <w:tcBorders/>
            <w:shd w:fill="auto" w:val="clear"/>
            <w:vAlign w:val="bottom"/>
          </w:tcPr>
          <w:p>
            <w:pPr>
              <w:pStyle w:val="TableContents"/>
              <w:spacing w:before="0" w:after="283"/>
              <w:rPr/>
            </w:pPr>
            <w:r>
              <w:rPr/>
              <w:t>  </w:t>
            </w:r>
          </w:p>
        </w:tc>
        <w:tc>
          <w:tcPr>
            <w:tcW w:w="916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4.12</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InterWest Partners IX, LP.(8)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4.13</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Atlas Venture Fund VII, L.P.(8)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4.14</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Atlas Venture Fund VII, L.P.(8)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4.15</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The Peierls Foundation, Inc.(8)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4.16</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The Peierls Foundation, Inc.(8)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4.17</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Skyline Venture Partners Qualified Purchaser Fund IV, L.P.(8)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4.18</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Skyline Venture Partners Qualified Purchaser Fund IV, L.P.(8)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4.19</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18, 2009, by and between ARCA biopharma, Inc. and BioMed Realty, L.P.(16)</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4.20</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Form of Common Stock Purchase Warrant.(23)</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4.21</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Form of Warrant to Purchase Common Stock.(27)</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Collaboration and License Agreement, dated July 31, 2006, by and between Nuvelo, Inc. and Archemix Corp.(2)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10.2§</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Amended and Restated Collaboration and License Agreement, dated April 20, 2010, by and between ARCA biopharma, Inc. and Archemix Corp.(17)</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10.3</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Lease, dated February 8, 2008, by and between ARCA Discovery, Inc. and Arista Place, LLC.(8)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10.4</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Loan and Security Agreement, dated July 17, 2007, by and between ARCA Discovery, Inc. and Silicon Valley Bank.(8)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10.5</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Loan and Security Agreement, dated January 21, 2009, by and between ARCA biopharma, Inc. and Silicon Valley Bank.(8)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10.6</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Loan and Security Agreement, dated March 23, 2009, by and between ARCA biopharma Colorado, Inc. and Silicon Valley Bank.(8)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10.7</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Loan and Security Agreement, dated April 6, 2009, by and between ARCA biopharma Colorado, Inc. and Silicon Valley Bank(14)</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10.8</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Amendment to Assumption of Loan and Security Agreement, dated April 10, 2009, by and between ARCA biopharma, Inc., ARCA biopharma Colorado, Inc. and Silicon Valley Bank(14)</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10.9§</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License and Sublicense Agreement, dated October 28, 2003, by and between ARCA Discovery, Inc. and CPEC, L.L.C.(12)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10.10§</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to License and Sublicense Agreement, dated February 22, 2006, by and between ARCA Discovery, Inc. and CPEC L.L.C.(13)</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10.11§</w:t>
            </w:r>
          </w:p>
        </w:tc>
        <w:tc>
          <w:tcPr>
            <w:tcW w:w="307"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rPr>
                <w:rFonts w:ascii="Times New Roman" w:hAnsi="Times New Roman"/>
                <w:sz w:val="20"/>
              </w:rPr>
            </w:pPr>
            <w:r>
              <w:rPr>
                <w:rFonts w:ascii="Times New Roman" w:hAnsi="Times New Roman"/>
                <w:sz w:val="20"/>
              </w:rPr>
              <w:t>Exclusive License Agreement, dated October 14, 2005, by and between ARCA Discovery, Inc. and the University of Colorados License Equity Holdings, Inc.(12)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73"/>
        <w:gridCol w:w="311"/>
        <w:gridCol w:w="9121"/>
      </w:tblGrid>
      <w:tr>
        <w:trPr/>
        <w:tc>
          <w:tcPr>
            <w:tcW w:w="77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9121" w:type="dxa"/>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311" w:type="dxa"/>
            <w:tcBorders/>
            <w:shd w:fill="auto" w:val="clear"/>
            <w:vAlign w:val="bottom"/>
          </w:tcPr>
          <w:p>
            <w:pPr>
              <w:pStyle w:val="TableContents"/>
              <w:spacing w:before="0" w:after="283"/>
              <w:rPr/>
            </w:pPr>
            <w:r>
              <w:rPr/>
              <w:t>  </w:t>
            </w:r>
          </w:p>
        </w:tc>
        <w:tc>
          <w:tcPr>
            <w:tcW w:w="912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10.12§</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Exclusive License Agreement, dated June 23, 2006, by and between ARCA Discovery, Inc. and the University of Colorados License Equity Holdings,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10.13§</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Exclusive License Agreement, dated July 20, 2006, by and between ARCA Discovery, Inc. and the University of Colorados License Equity Holdings,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10.14</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Exclusive License Agreement, dated July 19, 2007, by and between ARCA Discovery, Inc. and the University of Colorados License Equity Holdings,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10.15§</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Amendment to Exclusive License Agreement, dated August 22, 2007, by and between ARCA Discovery, Inc. and the University of Colorados License Equity Holdings,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10.16§</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Diagnostic, Collaboration and Option Agreement, dated June 23, 2006, by and between ARCA Discovery, Inc. and CardioDX,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10.17§</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to Diagnostic, Collaboration and Option Agreement, dated October 1, 2007, by and between ARCA Discovery, Inc. and CardioDX,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10.18§</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Manufacturing Agreement, dated September 11, 2006, by and between ARCA Discovery, Inc. and Patheon,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10.19§</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 Commercialization and Licensing Agreement, dated February 1, 2007, by and between ARCA Discovery, Inc. and Laboratory Corporation of America Holdings, Inc.(13)</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10.20</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Development, Commercialization and Licensing Agreement, dated May 14, 2007, by and between ARCA Discovery, Inc. and Laboratory Corporation of America Holdings,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10.21§</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2 to Development, Commercialization and Licensing Agreement, dated June 10, 2008, by and between ARCA Discovery, Inc. and Laboratory Corporation of America Holdings, Inc.(12)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10.22</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Materials Transfer Agreement, dated October 14, 2005, by and between ARCA Discovery, Inc. and the University of Colorado.(12)</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10.23</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Lease Surrender and Termination Agreement, dated August 5, 2009, by and between ARCA biopharma, Inc. and The Irvine Company LLC.(9)</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10.24</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Lease Termination and Warrant Purchase Agreement, dated September 18, 2009, by and between ARCA biopharma, Inc., BMR-201 Industrial Road LLC and BioMed Realty, L.P.(10)</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10.25§</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Exclusive Option Agreement, dated December 2, 2009, by and between ARCA biopharma, Inc. and the University of Cincinnati.(16)</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10.26</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December 8, 2010, of the Exclusive Option Agreement by and between ARCA biopharma, Inc. and the University of Cincinnati.(19)</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10.27</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December 21, 2010, of the Exclusive Option Agreement by and between ARCA biopharma, Inc. and the University of Cincinnati.(20)</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10.28</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January 21, 2011, of the Exclusive Option Agreement by and between ARCA biopharma, Inc. and the University of Cincinnati.(21)</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10.29</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ARCA Discovery, Inc. 2004 Stock Incentive Plan.(7)</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10.30</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the ARCA Discovery, Inc. 2004 Stock Incentive Plan.(7)</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10.31</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2 to the ARCA Discovery, Inc. 2004 Stock Incentive Plan.(7)</w:t>
            </w:r>
          </w:p>
        </w:tc>
      </w:tr>
      <w:tr>
        <w:trPr>
          <w:trHeight w:val="120" w:hRule="atLeast"/>
        </w:trPr>
        <w:tc>
          <w:tcPr>
            <w:tcW w:w="773" w:type="dxa"/>
            <w:tcBorders/>
            <w:shd w:fill="auto" w:val="clear"/>
            <w:vAlign w:val="center"/>
          </w:tcPr>
          <w:p>
            <w:pPr>
              <w:pStyle w:val="TableContents"/>
              <w:spacing w:before="0" w:after="283"/>
              <w:rPr>
                <w:sz w:val="4"/>
                <w:szCs w:val="4"/>
              </w:rPr>
            </w:pPr>
            <w:r>
              <w:rPr>
                <w:sz w:val="4"/>
                <w:szCs w:val="4"/>
              </w:rPr>
            </w:r>
          </w:p>
        </w:tc>
        <w:tc>
          <w:tcPr>
            <w:tcW w:w="9432" w:type="dxa"/>
            <w:gridSpan w:val="2"/>
            <w:tcBorders/>
            <w:shd w:fill="auto" w:val="clear"/>
            <w:vAlign w:val="center"/>
          </w:tcPr>
          <w:p>
            <w:pPr>
              <w:pStyle w:val="TableContents"/>
              <w:spacing w:before="0" w:after="283"/>
              <w:rPr>
                <w:sz w:val="4"/>
                <w:szCs w:val="4"/>
              </w:rPr>
            </w:pPr>
            <w:r>
              <w:rPr>
                <w:sz w:val="4"/>
                <w:szCs w:val="4"/>
              </w:rPr>
            </w:r>
          </w:p>
        </w:tc>
      </w:tr>
      <w:tr>
        <w:trPr/>
        <w:tc>
          <w:tcPr>
            <w:tcW w:w="773" w:type="dxa"/>
            <w:tcBorders/>
            <w:shd w:fill="auto" w:val="clear"/>
          </w:tcPr>
          <w:p>
            <w:pPr>
              <w:pStyle w:val="TableContents"/>
              <w:spacing w:before="0" w:after="283"/>
              <w:rPr/>
            </w:pPr>
            <w:r>
              <w:rPr/>
              <w:t>  </w:t>
            </w:r>
            <w:r>
              <w:rPr>
                <w:rFonts w:ascii="Times New Roman" w:hAnsi="Times New Roman"/>
                <w:sz w:val="20"/>
              </w:rPr>
              <w:t>10.32</w:t>
            </w:r>
          </w:p>
        </w:tc>
        <w:tc>
          <w:tcPr>
            <w:tcW w:w="311"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3 to the ARCA Discovery, Inc. 2004 Stock Incentive Plan.(7)</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67"/>
        <w:gridCol w:w="311"/>
        <w:gridCol w:w="9127"/>
      </w:tblGrid>
      <w:tr>
        <w:trPr/>
        <w:tc>
          <w:tcPr>
            <w:tcW w:w="76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9127" w:type="dxa"/>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311" w:type="dxa"/>
            <w:tcBorders/>
            <w:shd w:fill="auto" w:val="clear"/>
            <w:vAlign w:val="bottom"/>
          </w:tcPr>
          <w:p>
            <w:pPr>
              <w:pStyle w:val="TableContents"/>
              <w:spacing w:before="0" w:after="283"/>
              <w:rPr/>
            </w:pPr>
            <w:r>
              <w:rPr/>
              <w:t>  </w:t>
            </w:r>
          </w:p>
        </w:tc>
        <w:tc>
          <w:tcPr>
            <w:tcW w:w="912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10.33</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4 to the ARCA Discovery, Inc. 2004 Stock Incentive Plan.(7)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10.34</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5 to the ARCA Discovery, Inc. 2004 Stock Incentive Plan.(7)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10.35</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6 to the ARCA Discovery, Inc. 2004 Stock Incentive Plan.(7)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10.36</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Stock Incentive Plan, Form of Executive Incentive Stock Option Agreement.(7)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10.37</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Stock Incentive Plan, Form of Non-Executive Incentive Stock Option Agreement.(7)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10.38</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Stock Incentive Plan, Form of Nonqualified Stock Option Agreement.(7)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10.39</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Partial Acceleration Stock Option Agreement.(8)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10.40</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No Acceleration Stock Option Agreement.(8)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10.41</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Director Stock Option Agreement.(8)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10.42</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Notice of Grant of Stock Option.(8)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10.43</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Notice of Director Grant of Stock Option.(8)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10.44</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Indemnification Agreement between Nuvelo, Inc. and its directors and officers.(1)</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10.45</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Nuvelo, Inc. Amended Executive Change in Control and Severance Benefit Plan.(4)</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10.46</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Employment and Retention Agreement, dated June 4, 2008, by and between ARCA biopharma, Inc. and Michael R. Bristow.(8)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10.47</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Assignment and Assumption Agreement, dated January 26, 2009, by and between ARCA biopharma, Inc. and ARCA biopharma Colorado, Inc.(8)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10.48</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Employment Agreement, dated June 12, 2008, by and between ARCA biopharma, Inc. and Christopher D. Ozeroff.(8)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10.49</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Assignment and Assumption Agreement, dated January 26, 2009, by and between ARCA biopharma, Inc. and ARCA biopharma Colorado, Inc.(8)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10.50</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ARCA biopharma, Inc. 2004 Equity Incentive Plan(11)</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10.51</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Employee Severance Benefit Plan(18)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10.52</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2009 Reduction in Force Severance Benefit Plan(18)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10.53</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Option Amendment pursuant to ARCA biopharma, Inc. 2004 Equity Incentive Plan and ARCA biopharma, Inc. 2004 Stock Option Plan (change of control)(18)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10.54</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Option Agreement and Grant Notice pursuant to ARCA biopharma, Inc. 2004 Equity Incentive Plan (NDA/change of control acceleration)(18)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10.55</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Employment Agreement, dated February 11, 2009, by and between ARCA biopharma, Inc. and Patrick Wheeler.(16)</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10.56</w:t>
            </w:r>
          </w:p>
        </w:tc>
        <w:tc>
          <w:tcPr>
            <w:tcW w:w="311" w:type="dxa"/>
            <w:tcBorders/>
            <w:shd w:fill="auto" w:val="clear"/>
            <w:vAlign w:val="bottom"/>
          </w:tcPr>
          <w:p>
            <w:pPr>
              <w:pStyle w:val="TableContents"/>
              <w:spacing w:before="0" w:after="283"/>
              <w:rPr/>
            </w:pPr>
            <w:r>
              <w:rPr/>
              <w:t>  </w:t>
            </w:r>
          </w:p>
        </w:tc>
        <w:tc>
          <w:tcPr>
            <w:tcW w:w="91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Indemnification Agreement between ARCA biopharma, Inc. and its directors and officers.(8)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30"/>
        <w:gridCol w:w="215"/>
        <w:gridCol w:w="9060"/>
      </w:tblGrid>
      <w:tr>
        <w:trPr/>
        <w:tc>
          <w:tcPr>
            <w:tcW w:w="9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9060"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215" w:type="dxa"/>
            <w:tcBorders/>
            <w:shd w:fill="auto" w:val="clear"/>
            <w:vAlign w:val="bottom"/>
          </w:tcPr>
          <w:p>
            <w:pPr>
              <w:pStyle w:val="TableContents"/>
              <w:spacing w:before="0" w:after="283"/>
              <w:rPr/>
            </w:pPr>
            <w:r>
              <w:rPr/>
              <w:t>  </w:t>
            </w:r>
          </w:p>
        </w:tc>
        <w:tc>
          <w:tcPr>
            <w:tcW w:w="906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10.57</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March 31, 2011, of the Exclusive Option Agreement by and between ARCA biopharma, Inc. and the University of Cincinnati.(22)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10.58</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Subscription Agreement.(23)</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10.59§</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License Agreement, dated April 15, 2011, by and between ARCA biopharma and the University of Cincinnati.(24)</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10.60</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Lease Agreement, dated June 14, 2011, by and between Arista Place, LLC and ARCA biopharma Inc., (f/k/a ARCA Discovery, Inc.).(25)</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10.61§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Exclusive License Agreement, dated August 12, 2011, by and between the Regents of the University of Colorado and ARCA biopharma, Inc.(26)</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10.62</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Form of Subscription Agreement.(27)</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10.63</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Form of Registration Rights Agreement.(27)</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14.1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Code of Business Conduct and Ethics(9)</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16.1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Letter from Ernst &amp; Young LLP to the Securities and Exchange Commission, dated March 30, 2009.(15)</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23.1*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KPMG LLP, Independent Registered Public Accounting Firm.</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24.1*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(included in the signature page hereto).</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31.1*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Executive Officer pursuant to Rule 13a-14(a) or 15d-14(a) under the Securities Exchange Act of 1934, as adopted pursuant to Section 302 of the Sarbanes-Oxley Act of 2002.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31.2*</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Financial Officer pursuant to Rule 13a-14(a) or 15d-14(a) under the Securities Exchange Act of 1934, as adopted pursuant to Section 302 of the Sarbanes-Oxley Act of 2002.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32.1*</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Executive Officer and Chief Financial Officer pursuant to 18 U.S.C. sec. 1350, as adopted pursuant to Section 906 of the Sarbanes-Oxley Act of 2002.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101.INS</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XBRL Instance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101.SCH</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Schema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101.CAL</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Calculation Linkbase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101.LAB</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Label Linkbase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101.PRE</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Presentation Linkbase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101.DEF</w:t>
            </w:r>
          </w:p>
        </w:tc>
        <w:tc>
          <w:tcPr>
            <w:tcW w:w="215" w:type="dxa"/>
            <w:tcBorders/>
            <w:shd w:fill="auto" w:val="clear"/>
            <w:vAlign w:val="bottom"/>
          </w:tcPr>
          <w:p>
            <w:pPr>
              <w:pStyle w:val="TableContents"/>
              <w:spacing w:before="0" w:after="283"/>
              <w:rPr/>
            </w:pPr>
            <w:r>
              <w:rPr/>
              <w:t>  </w:t>
            </w:r>
          </w:p>
        </w:tc>
        <w:tc>
          <w:tcPr>
            <w:tcW w:w="9060"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Definition Linkbase Document (furnished electronically herewith)</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  </w:t>
            </w:r>
            <w:r>
              <w:rPr>
                <w:rFonts w:ascii="Times New Roman" w:hAnsi="Times New Roman"/>
                <w:sz w:val="20"/>
              </w:rPr>
              <w:t>*</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  </w:t>
            </w:r>
            <w:r>
              <w:rPr>
                <w:rFonts w:ascii="Times New Roman" w:hAnsi="Times New Roman"/>
                <w:sz w:val="20"/>
              </w:rPr>
              <w:t></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Compensatory plan or agreement.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  </w:t>
            </w:r>
            <w:r>
              <w:rPr>
                <w:rFonts w:ascii="Times New Roman" w:hAnsi="Times New Roman"/>
                <w:sz w:val="20"/>
              </w:rPr>
              <w:t>§</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Confidential treatment has been requested for portions of this document, which are omitted and filed separately with the SEC.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  </w:t>
            </w:r>
            <w:r>
              <w:rPr>
                <w:rFonts w:ascii="Times New Roman" w:hAnsi="Times New Roman"/>
                <w:sz w:val="20"/>
              </w:rPr>
              <w:t></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Hyseq, Inc.s Form S-1, filed on June 12, 1997, as amended, File No. 333-29091.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10-Q, filed on November 8, 2006, File No. 000-22873.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Appendix to and incorporated herein by reference from Nuvelo, Inc.s Proxy Statement on Schedule 14A, filed on April 18, 2007,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10-Q, filed on November 7, 2007,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8-K, filed on September 25, 2008,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8-K, filed on October 29, 2008,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January 28, 2009,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10-K, filed on March 27, 2009,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November 16, 2009, File No. 000-22873.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September 24,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10-Q/A, filed on August 21,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May 15,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10-Q/A, filed on November 6,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April 10,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March 30,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10-K, filed on March 4, 2010,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(17)</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August 10, 2010,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(18)</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August 10, 2009,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(19)</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December 14, 2010,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(20)</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December 22, 2010,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January 26,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April 5,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April 18,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May 16,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June 20,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August 15, 2011,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(27)</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December 22, 2011, File No. 000-22873.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tx280818_27"/>
      <w:bookmarkEnd w:id="29"/>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Section 13 or 15(d)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57"/>
        <w:gridCol w:w="60"/>
        <w:gridCol w:w="3665"/>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ARCA biopharma, Inc.</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725"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P</w:t>
            </w:r>
            <w:r>
              <w:rPr>
                <w:rFonts w:ascii="Times New Roman" w:hAnsi="Times New Roman"/>
                <w:sz w:val="14"/>
              </w:rPr>
              <w:t>ATRICK</w:t>
            </w:r>
            <w:r>
              <w:rPr>
                <w:rFonts w:ascii="Times New Roman" w:hAnsi="Times New Roman"/>
                <w:sz w:val="20"/>
              </w:rPr>
              <w:t xml:space="preserve"> M. W</w:t>
            </w:r>
            <w:r>
              <w:rPr>
                <w:rFonts w:ascii="Times New Roman" w:hAnsi="Times New Roman"/>
                <w:sz w:val="14"/>
              </w:rPr>
              <w:t>HEELER        </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Patrick M. Wheeler</w:t>
            </w:r>
          </w:p>
          <w:p>
            <w:pPr>
              <w:pStyle w:val="TableContents"/>
              <w:spacing w:before="0" w:after="15"/>
              <w:jc w:val="center"/>
              <w:rPr>
                <w:rFonts w:ascii="Times New Roman" w:hAnsi="Times New Roman"/>
                <w:b/>
                <w:sz w:val="14"/>
              </w:rPr>
            </w:pPr>
            <w:r>
              <w:rPr>
                <w:rFonts w:ascii="Times New Roman" w:hAnsi="Times New Roman"/>
                <w:b/>
                <w:sz w:val="14"/>
              </w:rPr>
              <w:t>Principal Accounting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Date: March 27, 2012</w:t>
            </w:r>
          </w:p>
        </w:tc>
      </w:tr>
    </w:tbl>
    <w:p>
      <w:pPr>
        <w:pStyle w:val="TextBody"/>
        <w:spacing w:before="36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Michael R. Bristow and Patrick M. Wheeler, and each of them, as his true and lawful attorneys-in-fact and agents, with full power of substitution for him, and in his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might or could do in person, hereby ratifying and confirming all that said attorneys-in-fact and agents, and any of them or his or her substitute or substitutes, may lawfully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this report has been signed by the following persons on behalf of ARCA biopharma, Inc.,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674"/>
        <w:gridCol w:w="204"/>
        <w:gridCol w:w="4286"/>
        <w:gridCol w:w="203"/>
        <w:gridCol w:w="1838"/>
      </w:tblGrid>
      <w:tr>
        <w:trPr/>
        <w:tc>
          <w:tcPr>
            <w:tcW w:w="367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2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Signature</w:t>
            </w:r>
          </w:p>
        </w:tc>
        <w:tc>
          <w:tcPr>
            <w:tcW w:w="204" w:type="dxa"/>
            <w:tcBorders/>
            <w:shd w:fill="auto" w:val="clear"/>
            <w:vAlign w:val="bottom"/>
          </w:tcPr>
          <w:p>
            <w:pPr>
              <w:pStyle w:val="TableContents"/>
              <w:spacing w:before="0" w:after="283"/>
              <w:rPr/>
            </w:pPr>
            <w:r>
              <w:rPr/>
              <w:t>  </w:t>
            </w:r>
          </w:p>
        </w:tc>
        <w:tc>
          <w:tcPr>
            <w:tcW w:w="4286"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838"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ICHAEL</w:t>
            </w:r>
            <w:r>
              <w:rPr>
                <w:rFonts w:ascii="Times New Roman" w:hAnsi="Times New Roman"/>
                <w:sz w:val="20"/>
              </w:rPr>
              <w:t xml:space="preserve"> R. B</w:t>
            </w:r>
            <w:r>
              <w:rPr>
                <w:rFonts w:ascii="Times New Roman" w:hAnsi="Times New Roman"/>
                <w:sz w:val="14"/>
              </w:rPr>
              <w:t>RISTOW        </w:t>
            </w:r>
          </w:p>
          <w:p>
            <w:pPr>
              <w:pStyle w:val="TableContents"/>
              <w:spacing w:before="0" w:after="15"/>
              <w:jc w:val="center"/>
              <w:rPr>
                <w:rFonts w:ascii="Times New Roman" w:hAnsi="Times New Roman"/>
                <w:b/>
                <w:sz w:val="14"/>
              </w:rPr>
            </w:pPr>
            <w:r>
              <w:rPr>
                <w:rFonts w:ascii="Times New Roman" w:hAnsi="Times New Roman"/>
                <w:b/>
                <w:sz w:val="14"/>
              </w:rPr>
              <w:t>Michael R. Bristow</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 and Director (Principal Executive Officer)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ATRICK</w:t>
            </w:r>
            <w:r>
              <w:rPr>
                <w:rFonts w:ascii="Times New Roman" w:hAnsi="Times New Roman"/>
                <w:sz w:val="20"/>
              </w:rPr>
              <w:t xml:space="preserve"> M. W</w:t>
            </w:r>
            <w:r>
              <w:rPr>
                <w:rFonts w:ascii="Times New Roman" w:hAnsi="Times New Roman"/>
                <w:sz w:val="14"/>
              </w:rPr>
              <w:t>HEELER        </w:t>
            </w:r>
          </w:p>
          <w:p>
            <w:pPr>
              <w:pStyle w:val="TableContents"/>
              <w:spacing w:before="0" w:after="15"/>
              <w:jc w:val="center"/>
              <w:rPr>
                <w:rFonts w:ascii="Times New Roman" w:hAnsi="Times New Roman"/>
                <w:b/>
                <w:sz w:val="14"/>
              </w:rPr>
            </w:pPr>
            <w:r>
              <w:rPr>
                <w:rFonts w:ascii="Times New Roman" w:hAnsi="Times New Roman"/>
                <w:b/>
                <w:sz w:val="14"/>
              </w:rPr>
              <w:t>Patrick M. Wheeler</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 (Principal Financial Officer and Principal Accounting Officer)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w:t>
            </w:r>
            <w:r>
              <w:rPr>
                <w:rFonts w:ascii="Times New Roman" w:hAnsi="Times New Roman"/>
                <w:sz w:val="14"/>
              </w:rPr>
              <w:t>ICHARD</w:t>
            </w:r>
            <w:r>
              <w:rPr>
                <w:rFonts w:ascii="Times New Roman" w:hAnsi="Times New Roman"/>
                <w:sz w:val="20"/>
              </w:rPr>
              <w:t xml:space="preserve"> B. B</w:t>
            </w:r>
            <w:r>
              <w:rPr>
                <w:rFonts w:ascii="Times New Roman" w:hAnsi="Times New Roman"/>
                <w:sz w:val="14"/>
              </w:rPr>
              <w:t>REWER        </w:t>
            </w:r>
          </w:p>
          <w:p>
            <w:pPr>
              <w:pStyle w:val="TableContents"/>
              <w:spacing w:before="0" w:after="15"/>
              <w:jc w:val="center"/>
              <w:rPr>
                <w:rFonts w:ascii="Times New Roman" w:hAnsi="Times New Roman"/>
                <w:b/>
                <w:sz w:val="14"/>
              </w:rPr>
            </w:pPr>
            <w:r>
              <w:rPr>
                <w:rFonts w:ascii="Times New Roman" w:hAnsi="Times New Roman"/>
                <w:b/>
                <w:sz w:val="14"/>
              </w:rPr>
              <w:t>Richard B. Brewer</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EAN</w:t>
            </w:r>
            <w:r>
              <w:rPr>
                <w:rFonts w:ascii="Times New Roman" w:hAnsi="Times New Roman"/>
                <w:sz w:val="20"/>
              </w:rPr>
              <w:t>-F</w:t>
            </w:r>
            <w:r>
              <w:rPr>
                <w:rFonts w:ascii="Times New Roman" w:hAnsi="Times New Roman"/>
                <w:sz w:val="14"/>
              </w:rPr>
              <w:t>RANCOIS</w:t>
            </w:r>
            <w:r>
              <w:rPr>
                <w:rFonts w:ascii="Times New Roman" w:hAnsi="Times New Roman"/>
                <w:sz w:val="20"/>
              </w:rPr>
              <w:t xml:space="preserve"> F</w:t>
            </w:r>
            <w:r>
              <w:rPr>
                <w:rFonts w:ascii="Times New Roman" w:hAnsi="Times New Roman"/>
                <w:sz w:val="14"/>
              </w:rPr>
              <w:t>ORMELA        </w:t>
            </w:r>
          </w:p>
          <w:p>
            <w:pPr>
              <w:pStyle w:val="TableContents"/>
              <w:spacing w:before="0" w:after="15"/>
              <w:jc w:val="center"/>
              <w:rPr>
                <w:rFonts w:ascii="Times New Roman" w:hAnsi="Times New Roman"/>
                <w:b/>
                <w:sz w:val="14"/>
              </w:rPr>
            </w:pPr>
            <w:r>
              <w:rPr>
                <w:rFonts w:ascii="Times New Roman" w:hAnsi="Times New Roman"/>
                <w:b/>
                <w:sz w:val="14"/>
              </w:rPr>
              <w:t>Jean-Francois Formela</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L</w:t>
            </w:r>
            <w:r>
              <w:rPr>
                <w:rFonts w:ascii="Times New Roman" w:hAnsi="Times New Roman"/>
                <w:sz w:val="14"/>
              </w:rPr>
              <w:t>INDA</w:t>
            </w:r>
            <w:r>
              <w:rPr>
                <w:rFonts w:ascii="Times New Roman" w:hAnsi="Times New Roman"/>
                <w:sz w:val="20"/>
              </w:rPr>
              <w:t xml:space="preserve"> G</w:t>
            </w:r>
            <w:r>
              <w:rPr>
                <w:rFonts w:ascii="Times New Roman" w:hAnsi="Times New Roman"/>
                <w:sz w:val="14"/>
              </w:rPr>
              <w:t>RAIS        </w:t>
            </w:r>
          </w:p>
          <w:p>
            <w:pPr>
              <w:pStyle w:val="TableContents"/>
              <w:spacing w:before="0" w:after="15"/>
              <w:jc w:val="center"/>
              <w:rPr>
                <w:rFonts w:ascii="Times New Roman" w:hAnsi="Times New Roman"/>
                <w:b/>
                <w:sz w:val="14"/>
              </w:rPr>
            </w:pPr>
            <w:r>
              <w:rPr>
                <w:rFonts w:ascii="Times New Roman" w:hAnsi="Times New Roman"/>
                <w:b/>
                <w:sz w:val="14"/>
              </w:rPr>
              <w:t>Linda Grais</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URTON</w:t>
            </w:r>
            <w:r>
              <w:rPr>
                <w:rFonts w:ascii="Times New Roman" w:hAnsi="Times New Roman"/>
                <w:sz w:val="20"/>
              </w:rPr>
              <w:t xml:space="preserve"> E. S</w:t>
            </w:r>
            <w:r>
              <w:rPr>
                <w:rFonts w:ascii="Times New Roman" w:hAnsi="Times New Roman"/>
                <w:sz w:val="14"/>
              </w:rPr>
              <w:t>OBEL        </w:t>
            </w:r>
          </w:p>
          <w:p>
            <w:pPr>
              <w:pStyle w:val="TableContents"/>
              <w:spacing w:before="0" w:after="15"/>
              <w:jc w:val="center"/>
              <w:rPr>
                <w:rFonts w:ascii="Times New Roman" w:hAnsi="Times New Roman"/>
                <w:b/>
                <w:sz w:val="14"/>
              </w:rPr>
            </w:pPr>
            <w:r>
              <w:rPr>
                <w:rFonts w:ascii="Times New Roman" w:hAnsi="Times New Roman"/>
                <w:b/>
                <w:sz w:val="14"/>
              </w:rPr>
              <w:t>Burton E. Sobel</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r>
        <w:trPr>
          <w:trHeight w:val="240" w:hRule="atLeast"/>
        </w:trPr>
        <w:tc>
          <w:tcPr>
            <w:tcW w:w="3674" w:type="dxa"/>
            <w:tcBorders/>
            <w:shd w:fill="auto" w:val="clear"/>
            <w:vAlign w:val="center"/>
          </w:tcPr>
          <w:p>
            <w:pPr>
              <w:pStyle w:val="TableContents"/>
              <w:spacing w:before="0" w:after="283"/>
              <w:rPr>
                <w:sz w:val="4"/>
                <w:szCs w:val="4"/>
              </w:rPr>
            </w:pPr>
            <w:r>
              <w:rPr>
                <w:sz w:val="4"/>
                <w:szCs w:val="4"/>
              </w:rPr>
            </w:r>
          </w:p>
        </w:tc>
        <w:tc>
          <w:tcPr>
            <w:tcW w:w="4490"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OHN</w:t>
            </w:r>
            <w:r>
              <w:rPr>
                <w:rFonts w:ascii="Times New Roman" w:hAnsi="Times New Roman"/>
                <w:sz w:val="20"/>
              </w:rPr>
              <w:t xml:space="preserve"> L. Z</w:t>
            </w:r>
            <w:r>
              <w:rPr>
                <w:rFonts w:ascii="Times New Roman" w:hAnsi="Times New Roman"/>
                <w:sz w:val="14"/>
              </w:rPr>
              <w:t>ABRISKIE        </w:t>
            </w:r>
          </w:p>
          <w:p>
            <w:pPr>
              <w:pStyle w:val="TableContents"/>
              <w:spacing w:before="0" w:after="15"/>
              <w:jc w:val="center"/>
              <w:rPr>
                <w:rFonts w:ascii="Times New Roman" w:hAnsi="Times New Roman"/>
                <w:b/>
                <w:sz w:val="14"/>
              </w:rPr>
            </w:pPr>
            <w:r>
              <w:rPr>
                <w:rFonts w:ascii="Times New Roman" w:hAnsi="Times New Roman"/>
                <w:b/>
                <w:sz w:val="14"/>
              </w:rPr>
              <w:t>John L. Zabriskie</w:t>
            </w:r>
          </w:p>
        </w:tc>
        <w:tc>
          <w:tcPr>
            <w:tcW w:w="204" w:type="dxa"/>
            <w:tcBorders/>
            <w:shd w:fill="auto" w:val="clear"/>
            <w:vAlign w:val="bottom"/>
          </w:tcPr>
          <w:p>
            <w:pPr>
              <w:pStyle w:val="TableContents"/>
              <w:spacing w:before="0" w:after="283"/>
              <w:rPr/>
            </w:pPr>
            <w:r>
              <w:rPr/>
              <w:t>  </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8"/>
        <w:gridCol w:w="410"/>
        <w:gridCol w:w="9147"/>
      </w:tblGrid>
      <w:tr>
        <w:trPr/>
        <w:tc>
          <w:tcPr>
            <w:tcW w:w="64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9147" w:type="dxa"/>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410" w:type="dxa"/>
            <w:tcBorders/>
            <w:shd w:fill="auto" w:val="clear"/>
            <w:vAlign w:val="bottom"/>
          </w:tcPr>
          <w:p>
            <w:pPr>
              <w:pStyle w:val="TableContents"/>
              <w:spacing w:before="0" w:after="283"/>
              <w:rPr/>
            </w:pPr>
            <w:r>
              <w:rPr/>
              <w:t>  </w:t>
            </w:r>
          </w:p>
        </w:tc>
        <w:tc>
          <w:tcPr>
            <w:tcW w:w="914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2.1</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and Plan of Merger and Reorganization, dated September 24, 2008, among Nuvelo, Inc., Dawn Acquisition Sub, Inc. and ARCA biopharma, Inc.(5)</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2.2</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Agreement and Plan of Merger and Reorganization, dated October 28, 2008, by and among Nuvelo, Inc., Dawn Acquisition Sub, Inc. and ARCA biopharma, Inc.(6)</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3.1</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Certificate of Incorporation of the Registrant, as amended.(8)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3.2</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Amended and Restated Bylaws of the Registrant, as amended.(9)</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Form of Common Stock Certificate.(7)</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4.2</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Certificate of Designations of Series A Junior Participating Preferred Stock. (included as part of Exhibit 3.1)</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4.3</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July 17, 2007, by and between ARCA Discovery, Inc. and Silicon Valley Bank.(8)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4.4</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SVB Financial Group.(8)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4.5</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August 19, 2008, by and between ARCA biopharma, Inc. and Silicon Valley Bank.(8)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4.6</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SVB Financial Group.(8)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4.7</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Boulder Ventures IV,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4.8</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Boulder Ventures IV,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4.9</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Boulder Ventures IV (Annex),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4.10</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Boulder Ventures IV (Annex),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4.11</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InterWest Partners IX,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4.12</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InterWest Partners IX,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4.13</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Atlas Venture Fund VII,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4.14</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Atlas Venture Fund VII, L.P.(8)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4.15</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The Peierls Foundation, Inc.(8)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4.16</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The Peierls Foundation, Inc.(8)</w:t>
            </w:r>
          </w:p>
        </w:tc>
      </w:tr>
      <w:tr>
        <w:trPr>
          <w:trHeight w:val="120" w:hRule="atLeast"/>
        </w:trPr>
        <w:tc>
          <w:tcPr>
            <w:tcW w:w="648" w:type="dxa"/>
            <w:tcBorders/>
            <w:shd w:fill="auto" w:val="clear"/>
            <w:vAlign w:val="center"/>
          </w:tcPr>
          <w:p>
            <w:pPr>
              <w:pStyle w:val="TableContents"/>
              <w:spacing w:before="0" w:after="283"/>
              <w:rPr>
                <w:sz w:val="4"/>
                <w:szCs w:val="4"/>
              </w:rPr>
            </w:pPr>
            <w:r>
              <w:rPr>
                <w:sz w:val="4"/>
                <w:szCs w:val="4"/>
              </w:rPr>
            </w:r>
          </w:p>
        </w:tc>
        <w:tc>
          <w:tcPr>
            <w:tcW w:w="9557" w:type="dxa"/>
            <w:gridSpan w:val="2"/>
            <w:tcBorders/>
            <w:shd w:fill="auto" w:val="clear"/>
            <w:vAlign w:val="center"/>
          </w:tcPr>
          <w:p>
            <w:pPr>
              <w:pStyle w:val="TableContents"/>
              <w:spacing w:before="0" w:after="283"/>
              <w:rPr>
                <w:sz w:val="4"/>
                <w:szCs w:val="4"/>
              </w:rPr>
            </w:pPr>
            <w:r>
              <w:rPr>
                <w:sz w:val="4"/>
                <w:szCs w:val="4"/>
              </w:rPr>
            </w:r>
          </w:p>
        </w:tc>
      </w:tr>
      <w:tr>
        <w:trPr/>
        <w:tc>
          <w:tcPr>
            <w:tcW w:w="648" w:type="dxa"/>
            <w:tcBorders/>
            <w:shd w:fill="auto" w:val="clear"/>
          </w:tcPr>
          <w:p>
            <w:pPr>
              <w:pStyle w:val="TableContents"/>
              <w:spacing w:before="0" w:after="283"/>
              <w:rPr/>
            </w:pPr>
            <w:r>
              <w:rPr/>
              <w:t>    </w:t>
            </w:r>
            <w:r>
              <w:rPr>
                <w:rFonts w:ascii="Times New Roman" w:hAnsi="Times New Roman"/>
                <w:sz w:val="20"/>
              </w:rPr>
              <w:t>4.17</w:t>
            </w:r>
          </w:p>
        </w:tc>
        <w:tc>
          <w:tcPr>
            <w:tcW w:w="410" w:type="dxa"/>
            <w:tcBorders/>
            <w:shd w:fill="auto" w:val="clear"/>
            <w:vAlign w:val="bottom"/>
          </w:tcPr>
          <w:p>
            <w:pPr>
              <w:pStyle w:val="TableContents"/>
              <w:spacing w:before="0" w:after="283"/>
              <w:rPr/>
            </w:pPr>
            <w:r>
              <w:rPr/>
              <w:t>  </w:t>
            </w:r>
          </w:p>
        </w:tc>
        <w:tc>
          <w:tcPr>
            <w:tcW w:w="9147"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10, 2008, by and between ARCA biopharma, Inc. and Skyline Venture Partners Qualified Purchaser Fund IV, L.P.(8)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31"/>
        <w:gridCol w:w="408"/>
        <w:gridCol w:w="9066"/>
      </w:tblGrid>
      <w:tr>
        <w:trPr/>
        <w:tc>
          <w:tcPr>
            <w:tcW w:w="731"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9066" w:type="dxa"/>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408" w:type="dxa"/>
            <w:tcBorders/>
            <w:shd w:fill="auto" w:val="clear"/>
            <w:vAlign w:val="bottom"/>
          </w:tcPr>
          <w:p>
            <w:pPr>
              <w:pStyle w:val="TableContents"/>
              <w:spacing w:before="0" w:after="283"/>
              <w:rPr/>
            </w:pPr>
            <w:r>
              <w:rPr/>
              <w:t>  </w:t>
            </w:r>
          </w:p>
        </w:tc>
        <w:tc>
          <w:tcPr>
            <w:tcW w:w="906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4.18</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Warrant to Purchase Stock Agreement, dated February 19, 2009, by and between ARCA biopharma, Inc. and Skyline Venture Partners Qualified Purchaser Fund IV, L.P.(8)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4.19</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Warrant to Purchase Stock Agreement, dated October 18, 2009, by and between ARCA biopharma, Inc. and BioMed Realty, L.P.(16)</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4.20</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Form of Common Stock Purchase Warrant.(23)</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4.21</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Form of Warrant to Purchase Common Stock.(27)</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Collaboration and License Agreement, dated July 31, 2006, by and between Nuvelo, Inc. and Archemix Corp.(2)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10.2§</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Amended and Restated Collaboration and License Agreement, dated April 20, 2010, by and between ARCA biopharma, Inc. and Archemix Corp.(17)</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10.3</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Lease, dated February 8, 2008, by and between ARCA Discovery, Inc. and Arista Place, LLC.(8)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10.4</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Loan and Security Agreement, dated July 17, 2007, by and between ARCA Discovery, Inc. and Silicon Valley Bank.(8)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10.5</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Loan and Security Agreement, dated January 21, 2009, by and between ARCA biopharma, Inc. and Silicon Valley Bank.(8)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10.6</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Loan and Security Agreement, dated March 23, 2009, by and between ARCA biopharma Colorado, Inc. and Silicon Valley Bank.(8)</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10.7</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Loan and Security Agreement, dated April 6, 2009, by and between ARCA biopharma Colorado, Inc. and Silicon Valley Bank(14)</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10.8</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Amendment to Assumption of Loan and Security Agreement, dated April 10, 2009, by and between ARCA biopharma, Inc., ARCA biopharma Colorado, Inc. and Silicon Valley Bank(14)</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10.9§</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License and Sublicense Agreement, dated October 28, 2003, by and between ARCA Discovery, Inc. and CPEC, L.L.C.(12)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10.10§</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to License and Sublicense Agreement, dated February 22, 2006, by and between ARCA Discovery, Inc. and CPEC L.L.C.(13)</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10.11§</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Exclusive License Agreement, dated October 14, 2005, by and between ARCA Discovery, Inc. and the University of Colorados License Equity Holdings, Inc.(12)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10.12§</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Exclusive License Agreement, dated June 23, 2006, by and between ARCA Discovery, Inc. and the University of Colorados License Equity Holdings, Inc.(12)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10.13§</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Exclusive License Agreement, dated July 20, 2006, by and between ARCA Discovery, Inc. and the University of Colorados License Equity Holdings, Inc.(12)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10.14</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Exclusive License Agreement, dated July 19, 2007, by and between ARCA Discovery, Inc. and the University of Colorados License Equity Holdings, Inc.(12)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10.15§</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Amendment to Exclusive License Agreement, dated August 22, 2007, by and between ARCA Discovery, Inc. and the University of Colorados License Equity Holdings, Inc.(12)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10.16§</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Diagnostic, Collaboration and Option Agreement, dated June 23, 2006, by and between ARCA Discovery, Inc. and CardioDX, Inc.(12)</w:t>
            </w:r>
          </w:p>
        </w:tc>
      </w:tr>
      <w:tr>
        <w:trPr>
          <w:trHeight w:val="120" w:hRule="atLeast"/>
        </w:trPr>
        <w:tc>
          <w:tcPr>
            <w:tcW w:w="731" w:type="dxa"/>
            <w:tcBorders/>
            <w:shd w:fill="auto" w:val="clear"/>
            <w:vAlign w:val="center"/>
          </w:tcPr>
          <w:p>
            <w:pPr>
              <w:pStyle w:val="TableContents"/>
              <w:spacing w:before="0" w:after="283"/>
              <w:rPr>
                <w:sz w:val="4"/>
                <w:szCs w:val="4"/>
              </w:rPr>
            </w:pPr>
            <w:r>
              <w:rPr>
                <w:sz w:val="4"/>
                <w:szCs w:val="4"/>
              </w:rPr>
            </w:r>
          </w:p>
        </w:tc>
        <w:tc>
          <w:tcPr>
            <w:tcW w:w="9474" w:type="dxa"/>
            <w:gridSpan w:val="2"/>
            <w:tcBorders/>
            <w:shd w:fill="auto" w:val="clear"/>
            <w:vAlign w:val="center"/>
          </w:tcPr>
          <w:p>
            <w:pPr>
              <w:pStyle w:val="TableContents"/>
              <w:spacing w:before="0" w:after="283"/>
              <w:rPr>
                <w:sz w:val="4"/>
                <w:szCs w:val="4"/>
              </w:rPr>
            </w:pPr>
            <w:r>
              <w:rPr>
                <w:sz w:val="4"/>
                <w:szCs w:val="4"/>
              </w:rPr>
            </w:r>
          </w:p>
        </w:tc>
      </w:tr>
      <w:tr>
        <w:trPr/>
        <w:tc>
          <w:tcPr>
            <w:tcW w:w="731" w:type="dxa"/>
            <w:tcBorders/>
            <w:shd w:fill="auto" w:val="clear"/>
          </w:tcPr>
          <w:p>
            <w:pPr>
              <w:pStyle w:val="TableContents"/>
              <w:spacing w:before="0" w:after="283"/>
              <w:rPr/>
            </w:pPr>
            <w:r>
              <w:rPr/>
              <w:t>  </w:t>
            </w:r>
            <w:r>
              <w:rPr>
                <w:rFonts w:ascii="Times New Roman" w:hAnsi="Times New Roman"/>
                <w:sz w:val="20"/>
              </w:rPr>
              <w:t>10.17§</w:t>
            </w:r>
          </w:p>
        </w:tc>
        <w:tc>
          <w:tcPr>
            <w:tcW w:w="408" w:type="dxa"/>
            <w:tcBorders/>
            <w:shd w:fill="auto" w:val="clear"/>
            <w:vAlign w:val="bottom"/>
          </w:tcPr>
          <w:p>
            <w:pPr>
              <w:pStyle w:val="TableContents"/>
              <w:spacing w:before="0" w:after="283"/>
              <w:rPr/>
            </w:pPr>
            <w:r>
              <w:rPr/>
              <w:t>  </w:t>
            </w:r>
          </w:p>
        </w:tc>
        <w:tc>
          <w:tcPr>
            <w:tcW w:w="906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to Diagnostic, Collaboration and Option Agreement, dated October 1, 2007, by and between ARCA Discovery, Inc. and CardioDX, Inc.(12)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78"/>
        <w:gridCol w:w="411"/>
        <w:gridCol w:w="9016"/>
      </w:tblGrid>
      <w:tr>
        <w:trPr/>
        <w:tc>
          <w:tcPr>
            <w:tcW w:w="77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9016" w:type="dxa"/>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411" w:type="dxa"/>
            <w:tcBorders/>
            <w:shd w:fill="auto" w:val="clear"/>
            <w:vAlign w:val="bottom"/>
          </w:tcPr>
          <w:p>
            <w:pPr>
              <w:pStyle w:val="TableContents"/>
              <w:spacing w:before="0" w:after="283"/>
              <w:rPr/>
            </w:pPr>
            <w:r>
              <w:rPr/>
              <w:t>  </w:t>
            </w:r>
          </w:p>
        </w:tc>
        <w:tc>
          <w:tcPr>
            <w:tcW w:w="901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10.18§</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Manufacturing Agreement, dated September 11, 2006, by and between ARCA Discovery, Inc. and Patheon, Inc.(12)</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10.19§</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 Commercialization and Licensing Agreement, dated February 1, 2007, by and between ARCA Discovery, Inc. and Laboratory Corporation of America Holdings, Inc.(13)</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10.20</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Development, Commercialization and Licensing Agreement, dated May 14, 2007, by and between ARCA Discovery, Inc. and Laboratory Corporation of America Holdings, Inc.(12)</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10.21§</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2 to Development, Commercialization and Licensing Agreement, dated June 10, 2008, by and between ARCA Discovery, Inc. and Laboratory Corporation of America Holdings, Inc.(12)</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10.22</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Materials Transfer Agreement, dated October 14, 2005, by and between ARCA Discovery, Inc. and the University of Colorado.(12)</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10.23</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Lease Surrender and Termination Agreement, dated August 5, 2009, by and between ARCA biopharma, Inc. and The Irvine Company LLC.(9)</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10.24</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Lease Termination and Warrant Purchase Agreement, dated September 18, 2009, by and between ARCA biopharma, Inc., BMR-201 Industrial Road LLC and BioMed Realty, L.P.(10)</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10.25§</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Exclusive Option Agreement, dated December 2, 2009, by and between ARCA biopharma, Inc. and the University of Cincinnati.(16)</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10.26</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December 8, 2010, of the Exclusive Option Agreement by and between ARCA biopharma, Inc. and the University of Cincinnati.(19)</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10.27</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December 21, 2010, of the Exclusive Option Agreement by and between ARCA biopharma, Inc. and the University of Cincinnati.(20)</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10.28</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January 21, 2011, of the Exclusive Option Agreement by and between ARCA biopharma, Inc. and the University of Cincinnati.(21)</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10.29</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10.30</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to the 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10.31</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2 to the 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10.32</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3 to the 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10.33</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4 to the 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10.34</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5 to the 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10.35</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6 to the ARCA Discovery, Inc. 2004 Stock Incentive Plan.(7)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10.36</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Stock Incentive Plan, Form of Executive Incentive Stock Option Agreement.(7)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10.37</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Stock Incentive Plan, Form of Non-Executive Incentive Stock Option Agreement.(7)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10.38</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Stock Incentive Plan, Form of Nonqualified Stock Option Agreement.(7)</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10.39</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Partial Acceleration Stock Option Agreement.(8)</w:t>
            </w:r>
          </w:p>
        </w:tc>
      </w:tr>
      <w:tr>
        <w:trPr>
          <w:trHeight w:val="120" w:hRule="atLeast"/>
        </w:trPr>
        <w:tc>
          <w:tcPr>
            <w:tcW w:w="778" w:type="dxa"/>
            <w:tcBorders/>
            <w:shd w:fill="auto" w:val="clear"/>
            <w:vAlign w:val="center"/>
          </w:tcPr>
          <w:p>
            <w:pPr>
              <w:pStyle w:val="TableContents"/>
              <w:spacing w:before="0" w:after="283"/>
              <w:rPr>
                <w:sz w:val="4"/>
                <w:szCs w:val="4"/>
              </w:rPr>
            </w:pPr>
            <w:r>
              <w:rPr>
                <w:sz w:val="4"/>
                <w:szCs w:val="4"/>
              </w:rPr>
            </w:r>
          </w:p>
        </w:tc>
        <w:tc>
          <w:tcPr>
            <w:tcW w:w="9427" w:type="dxa"/>
            <w:gridSpan w:val="2"/>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pPr>
            <w:r>
              <w:rPr/>
              <w:t>  </w:t>
            </w:r>
            <w:r>
              <w:rPr>
                <w:rFonts w:ascii="Times New Roman" w:hAnsi="Times New Roman"/>
                <w:sz w:val="20"/>
              </w:rPr>
              <w:t>10.40</w:t>
            </w:r>
          </w:p>
        </w:tc>
        <w:tc>
          <w:tcPr>
            <w:tcW w:w="411" w:type="dxa"/>
            <w:tcBorders/>
            <w:shd w:fill="auto" w:val="clear"/>
            <w:vAlign w:val="bottom"/>
          </w:tcPr>
          <w:p>
            <w:pPr>
              <w:pStyle w:val="TableContents"/>
              <w:spacing w:before="0" w:after="283"/>
              <w:rPr/>
            </w:pPr>
            <w:r>
              <w:rPr/>
              <w:t>  </w:t>
            </w:r>
          </w:p>
        </w:tc>
        <w:tc>
          <w:tcPr>
            <w:tcW w:w="9016"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No Acceleration Stock Option Agreement.(8)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67"/>
        <w:gridCol w:w="411"/>
        <w:gridCol w:w="9027"/>
      </w:tblGrid>
      <w:tr>
        <w:trPr/>
        <w:tc>
          <w:tcPr>
            <w:tcW w:w="7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9027" w:type="dxa"/>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411" w:type="dxa"/>
            <w:tcBorders/>
            <w:shd w:fill="auto" w:val="clear"/>
            <w:vAlign w:val="bottom"/>
          </w:tcPr>
          <w:p>
            <w:pPr>
              <w:pStyle w:val="TableContents"/>
              <w:spacing w:before="0" w:after="283"/>
              <w:rPr/>
            </w:pPr>
            <w:r>
              <w:rPr/>
              <w:t>  </w:t>
            </w:r>
          </w:p>
        </w:tc>
        <w:tc>
          <w:tcPr>
            <w:tcW w:w="902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10.41</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Director Stock Option Agreement.(8)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10.42</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Notice of Grant of Stock Option.(8)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10.43</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2004 Equity Incentive Plan (f/k/a Nuvelo, Inc. 2004 Equity Incentive Plan), Form of Notice of Director Grant of Stock Option.(8)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10.44</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Indemnification Agreement between Nuvelo, Inc. and its directors and officers.(1)</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10.45</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Nuvelo, Inc. Amended Executive Change in Control and Severance Benefit Plan.(4)</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10.46</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Employment and Retention Agreement, dated June 4, 2008, by and between ARCA biopharma, Inc. and Michael R. Bristow.(8)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10.47</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Assignment and Assumption Agreement, dated January 26, 2009, by and between ARCA biopharma, Inc. and ARCA biopharma Colorado, Inc.(8)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10.48</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Employment Agreement, dated June 12, 2008, by and between ARCA biopharma, Inc. and Christopher D. Ozeroff.(8)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10.49</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Assignment and Assumption Agreement, dated January 26, 2009, by and between ARCA biopharma, Inc. and ARCA biopharma Colorado, Inc.(8)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10.50</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ARCA biopharma, Inc. 2004 Equity Incentive Plan(11)</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10.51</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Employee Severance Benefit Plan(18)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10.52</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ARCA biopharma, Inc. 2009 Reduction in Force Severance Benefit Plan(18)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10.53</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Option Amendment pursuant to ARCA biopharma, Inc. 2004 Equity Incentive Plan and ARCA biopharma, Inc. 2004 Stock Option Plan (change of control)(18)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10.54</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Option Agreement and Grant Notice pursuant to ARCA biopharma, Inc. 2004 Equity Incentive Plan (NDA/change of control acceleration)(18)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10.55</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Employment Agreement, dated February 11, 2009, by and between ARCA biopharma, Inc. and Patrick Wheeler.(16)</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10.56</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Indemnification Agreement between ARCA biopharma, Inc. and its directors and officers.(8)</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10.57</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Agreement Term Extension Letter dated March 31, 2011, of the Exclusive Option Agreement by and between ARCA biopharma, Inc. and the University of Cincinnati.(22)</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10.58</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Subscription Agreement.(23)</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10.59§</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License Agreement, dated April 15, 2011, by and between ARCA biopharma and the University of Cincinnati.(24)</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10.60</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Lease Agreement, dated June 14, 2011, by and between Arista Place, LLC and ARCA biopharma Inc., (f/k/a ARCA Discovery, Inc.).(25)</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10.61§</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Exclusive License Agreement, dated August 12, 2011, by and between the Regents of the University of Colorado and ARCA biopharma, Inc.(26)</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10.62</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Subscription Agreement.(27)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10.63</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Form of Registration Rights Agreement.(27)</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14.1</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Code of Business Conduct and Ethics(9)</w:t>
            </w:r>
          </w:p>
        </w:tc>
      </w:tr>
      <w:tr>
        <w:trPr>
          <w:trHeight w:val="120" w:hRule="atLeast"/>
        </w:trPr>
        <w:tc>
          <w:tcPr>
            <w:tcW w:w="767" w:type="dxa"/>
            <w:tcBorders/>
            <w:shd w:fill="auto" w:val="clear"/>
            <w:vAlign w:val="center"/>
          </w:tcPr>
          <w:p>
            <w:pPr>
              <w:pStyle w:val="TableContents"/>
              <w:spacing w:before="0" w:after="283"/>
              <w:rPr>
                <w:sz w:val="4"/>
                <w:szCs w:val="4"/>
              </w:rPr>
            </w:pPr>
            <w:r>
              <w:rPr>
                <w:sz w:val="4"/>
                <w:szCs w:val="4"/>
              </w:rPr>
            </w:r>
          </w:p>
        </w:tc>
        <w:tc>
          <w:tcPr>
            <w:tcW w:w="9438" w:type="dxa"/>
            <w:gridSpan w:val="2"/>
            <w:tcBorders/>
            <w:shd w:fill="auto" w:val="clear"/>
            <w:vAlign w:val="center"/>
          </w:tcPr>
          <w:p>
            <w:pPr>
              <w:pStyle w:val="TableContents"/>
              <w:spacing w:before="0" w:after="283"/>
              <w:rPr>
                <w:sz w:val="4"/>
                <w:szCs w:val="4"/>
              </w:rPr>
            </w:pPr>
            <w:r>
              <w:rPr>
                <w:sz w:val="4"/>
                <w:szCs w:val="4"/>
              </w:rPr>
            </w:r>
          </w:p>
        </w:tc>
      </w:tr>
      <w:tr>
        <w:trPr/>
        <w:tc>
          <w:tcPr>
            <w:tcW w:w="767" w:type="dxa"/>
            <w:tcBorders/>
            <w:shd w:fill="auto" w:val="clear"/>
          </w:tcPr>
          <w:p>
            <w:pPr>
              <w:pStyle w:val="TableContents"/>
              <w:spacing w:before="0" w:after="283"/>
              <w:rPr/>
            </w:pPr>
            <w:r>
              <w:rPr/>
              <w:t>  </w:t>
            </w:r>
            <w:r>
              <w:rPr>
                <w:rFonts w:ascii="Times New Roman" w:hAnsi="Times New Roman"/>
                <w:sz w:val="20"/>
              </w:rPr>
              <w:t>16.1</w:t>
            </w:r>
          </w:p>
        </w:tc>
        <w:tc>
          <w:tcPr>
            <w:tcW w:w="411" w:type="dxa"/>
            <w:tcBorders/>
            <w:shd w:fill="auto" w:val="clear"/>
            <w:vAlign w:val="bottom"/>
          </w:tcPr>
          <w:p>
            <w:pPr>
              <w:pStyle w:val="TableContents"/>
              <w:spacing w:before="0" w:after="283"/>
              <w:rPr/>
            </w:pPr>
            <w:r>
              <w:rPr/>
              <w:t>  </w:t>
            </w:r>
          </w:p>
        </w:tc>
        <w:tc>
          <w:tcPr>
            <w:tcW w:w="9027" w:type="dxa"/>
            <w:tcBorders/>
            <w:shd w:fill="auto" w:val="clear"/>
          </w:tcPr>
          <w:p>
            <w:pPr>
              <w:pStyle w:val="TableContents"/>
              <w:spacing w:before="0" w:after="283"/>
              <w:rPr>
                <w:rFonts w:ascii="Times New Roman" w:hAnsi="Times New Roman"/>
                <w:sz w:val="20"/>
              </w:rPr>
            </w:pPr>
            <w:r>
              <w:rPr>
                <w:rFonts w:ascii="Times New Roman" w:hAnsi="Times New Roman"/>
                <w:sz w:val="20"/>
              </w:rPr>
              <w:t>Letter from Ernst &amp; Young LLP to the Securities and Exchange Commission, dated March 30, 2009.(15)</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30"/>
        <w:gridCol w:w="510"/>
        <w:gridCol w:w="8765"/>
      </w:tblGrid>
      <w:tr>
        <w:trPr/>
        <w:tc>
          <w:tcPr>
            <w:tcW w:w="93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876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510" w:type="dxa"/>
            <w:tcBorders/>
            <w:shd w:fill="auto" w:val="clear"/>
            <w:vAlign w:val="bottom"/>
          </w:tcPr>
          <w:p>
            <w:pPr>
              <w:pStyle w:val="TableContents"/>
              <w:spacing w:before="0" w:after="283"/>
              <w:rPr/>
            </w:pPr>
            <w:r>
              <w:rPr/>
              <w:t>  </w:t>
            </w:r>
          </w:p>
        </w:tc>
        <w:tc>
          <w:tcPr>
            <w:tcW w:w="876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23.1*</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KPMG LLP, Independent Registered Public Accounting Firm.</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24.1*</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(included in the signature page hereto).</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31.1*</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Executive Officer pursuant to Rule 13a-14(a) or 15d-14(a) under the Securities Exchange Act of 1934, as adopted pursuant to Section 302 of the Sarbanes-Oxley Act of 2002.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31.2*</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Financial Officer pursuant to Rule 13a-14(a) or 15d-14(a) under the Securities Exchange Act of 1934, as adopted pursuant to Section 302 of the Sarbanes-Oxley Act of 2002.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pPr>
            <w:r>
              <w:rPr/>
              <w:t>  </w:t>
            </w:r>
            <w:r>
              <w:rPr>
                <w:rFonts w:ascii="Times New Roman" w:hAnsi="Times New Roman"/>
                <w:sz w:val="20"/>
              </w:rPr>
              <w:t>32.1*</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Executive Officer and Chief Financial Officer pursuant to 18 U.S.C. sec. 1350, as adopted pursuant to Section 906 of the Sarbanes-Oxley Act of 2002.</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101.INS</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XBRL Instance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101.SCH</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Schema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101.CAL</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Calculation Linkbase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101.LAB</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Label Linkbase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101.PRE</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Presentation Linkbase Document (furnished electronically herewith)</w:t>
            </w:r>
          </w:p>
        </w:tc>
      </w:tr>
      <w:tr>
        <w:trPr>
          <w:trHeight w:val="120" w:hRule="atLeast"/>
        </w:trPr>
        <w:tc>
          <w:tcPr>
            <w:tcW w:w="930" w:type="dxa"/>
            <w:tcBorders/>
            <w:shd w:fill="auto" w:val="clear"/>
            <w:vAlign w:val="center"/>
          </w:tcPr>
          <w:p>
            <w:pPr>
              <w:pStyle w:val="TableContents"/>
              <w:spacing w:before="0" w:after="283"/>
              <w:rPr>
                <w:sz w:val="4"/>
                <w:szCs w:val="4"/>
              </w:rPr>
            </w:pPr>
            <w:r>
              <w:rPr>
                <w:sz w:val="4"/>
                <w:szCs w:val="4"/>
              </w:rPr>
            </w:r>
          </w:p>
        </w:tc>
        <w:tc>
          <w:tcPr>
            <w:tcW w:w="9275" w:type="dxa"/>
            <w:gridSpan w:val="2"/>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rPr>
                <w:rFonts w:ascii="Times New Roman" w:hAnsi="Times New Roman"/>
                <w:sz w:val="20"/>
              </w:rPr>
            </w:pPr>
            <w:r>
              <w:rPr>
                <w:rFonts w:ascii="Times New Roman" w:hAnsi="Times New Roman"/>
                <w:sz w:val="20"/>
              </w:rPr>
              <w:t>101.DEF</w:t>
            </w:r>
          </w:p>
        </w:tc>
        <w:tc>
          <w:tcPr>
            <w:tcW w:w="510" w:type="dxa"/>
            <w:tcBorders/>
            <w:shd w:fill="auto" w:val="clear"/>
            <w:vAlign w:val="bottom"/>
          </w:tcPr>
          <w:p>
            <w:pPr>
              <w:pStyle w:val="TableContents"/>
              <w:spacing w:before="0" w:after="283"/>
              <w:rPr/>
            </w:pPr>
            <w:r>
              <w:rPr/>
              <w:t>  </w:t>
            </w:r>
          </w:p>
        </w:tc>
        <w:tc>
          <w:tcPr>
            <w:tcW w:w="8765"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Definition Linkbase Document (furnished electronically herewith)</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  </w:t>
            </w:r>
            <w:r>
              <w:rPr>
                <w:rFonts w:ascii="Times New Roman" w:hAnsi="Times New Roman"/>
                <w:sz w:val="20"/>
              </w:rPr>
              <w:t>*</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  </w:t>
            </w:r>
            <w:r>
              <w:rPr>
                <w:rFonts w:ascii="Times New Roman" w:hAnsi="Times New Roman"/>
                <w:sz w:val="20"/>
              </w:rPr>
              <w:t></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Compensatory plan or agreement.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  </w:t>
            </w:r>
            <w:r>
              <w:rPr>
                <w:rFonts w:ascii="Times New Roman" w:hAnsi="Times New Roman"/>
                <w:sz w:val="20"/>
              </w:rPr>
              <w:t>§</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Confidential treatment has been requested for portions of this document, which are omitted and filed separately with the SEC.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  </w:t>
            </w:r>
            <w:r>
              <w:rPr>
                <w:rFonts w:ascii="Times New Roman" w:hAnsi="Times New Roman"/>
                <w:sz w:val="20"/>
              </w:rPr>
              <w:t></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Hyseq, Inc.s Form S-1, filed on June 12, 1997, as amended, File No. 333-29091.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10-Q, filed on November 8, 2006,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Appendix to and incorporated herein by reference from Nuvelo, Inc.s Proxy Statement on Schedule 14A, filed on April 18, 2007,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10-Q, filed on November 7, 2007,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8-K, filed on September 25, 2008,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Nuvelo, Inc.s Form 8-K, filed on October 29, 2008,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January 28, 2009, File No. 000-22873. </w:t>
            </w:r>
          </w:p>
        </w:tc>
      </w:tr>
    </w:tbl>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10-K, filed on March 27, 2009,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November 16, 2009, File No. 000-22873.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September 24,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10-Q/A, filed on August 21,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May 15,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10-Q/A, filed on November 6,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April 10,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March 30, 2009,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10-K, filed on March 4, 2010,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(17)</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August 10, 2010,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(18)</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August 10, 2009,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(19)</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December 14, 2010,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(20)</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December 22, 2010,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January 26,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April 5,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April 18,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May 16,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(25)</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June 20, 2011, File No. 000-22873.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10-Q, filed on August 15, 2011, File No. 000-22873.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(27)</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Previously filed with the SEC as an Exhibit to and incorporated herein by reference from ARCA biopharma, Inc.s Form 8-K filed on December 22, 2011, File No. 000-22873.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TextBody"/>
        <w:spacing w:before="0" w:after="0"/>
        <w:jc w:val="right"/>
        <w:rPr>
          <w:rFonts w:ascii="Times New Roman" w:hAnsi="Times New Roman"/>
          <w:b/>
          <w:sz w:val="20"/>
        </w:rPr>
      </w:pPr>
      <w:bookmarkStart w:id="30" w:name="d280818dex231.htm"/>
      <w:bookmarkStart w:id="31" w:name="ksd280818dex231"/>
      <w:bookmarkEnd w:id="30"/>
      <w:bookmarkEnd w:id="31"/>
      <w:r>
        <w:rPr>
          <w:rFonts w:ascii="Times New Roman" w:hAnsi="Times New Roman"/>
          <w:b/>
          <w:sz w:val="20"/>
        </w:rPr>
        <w:t xml:space="preserve">Exhibit 23.1 </w:t>
      </w:r>
    </w:p>
    <w:p>
      <w:pPr>
        <w:pStyle w:val="TextBody"/>
        <w:spacing w:before="12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70" w:after="0"/>
        <w:rPr>
          <w:rFonts w:ascii="Times New Roman" w:hAnsi="Times New Roman"/>
          <w:sz w:val="20"/>
        </w:rPr>
      </w:pPr>
      <w:r>
        <w:rPr>
          <w:rFonts w:ascii="Times New Roman" w:hAnsi="Times New Roman"/>
          <w:sz w:val="20"/>
        </w:rPr>
        <w:t xml:space="preserve">The Board of Directors </w:t>
      </w:r>
    </w:p>
    <w:p>
      <w:pPr>
        <w:pStyle w:val="TextBody"/>
        <w:spacing w:before="0" w:after="0"/>
        <w:rPr>
          <w:rFonts w:ascii="Times New Roman" w:hAnsi="Times New Roman"/>
          <w:sz w:val="20"/>
        </w:rPr>
      </w:pPr>
      <w:r>
        <w:rPr>
          <w:rFonts w:ascii="Times New Roman" w:hAnsi="Times New Roman"/>
          <w:sz w:val="20"/>
        </w:rPr>
        <w:t xml:space="preserve">ARCA biopharma, Inc.: </w:t>
      </w:r>
    </w:p>
    <w:p>
      <w:pPr>
        <w:pStyle w:val="TextBody"/>
        <w:spacing w:before="90" w:after="0"/>
        <w:rPr>
          <w:rFonts w:ascii="Times New Roman" w:hAnsi="Times New Roman"/>
          <w:sz w:val="20"/>
        </w:rPr>
      </w:pPr>
      <w:r>
        <w:rPr>
          <w:rFonts w:ascii="Times New Roman" w:hAnsi="Times New Roman"/>
          <w:sz w:val="20"/>
        </w:rPr>
        <w:t xml:space="preserve">We consent to the incorporation by reference in the registration statements (Nos. 333-161485, 333-146078, 333-134981, 333-126590, 333-115747, 333-108563, 333-103055, 333-101276, 333-96313, 333-68172, 333-68170, 333-53089, 333-53087, 333-41663, 333-39194, 333-08978, and 333-154839) on Form S-8 and the registration statements on Form S-3 (Nos. 333-172686 and 333-178984) and the related prospectuses of ARCA biopharma, Inc. (the Company) of our report dated March 27, 2012, with respect to the consolidated balance sheets of ARCA biopharma, Inc. as of December 31, 2011 and 2010, and the related consolidated statements of operations, preferred stock and stockholders equity (deficit), and cash flows for each of the years in the two-year period ended December 31, 2011, and for the period from December 17, 2001 (date of inception) to December 31, 2011, which report appears in the December 31, 2011 annual report on Form 10-K of ARCA biopharma, Inc. </w:t>
      </w:r>
    </w:p>
    <w:p>
      <w:pPr>
        <w:pStyle w:val="TextBody"/>
        <w:spacing w:before="180" w:after="0"/>
        <w:rPr>
          <w:rFonts w:ascii="Times New Roman" w:hAnsi="Times New Roman"/>
          <w:sz w:val="20"/>
        </w:rPr>
      </w:pPr>
      <w:r>
        <w:rPr>
          <w:rFonts w:ascii="Times New Roman" w:hAnsi="Times New Roman"/>
          <w:sz w:val="20"/>
        </w:rPr>
        <w:t xml:space="preserve">Our report dated March 27, 2012 contains an explanatory paragraph that states that the Companys recurring losses from operations and its dependence upon raising additional funds from strategic transactions, sales of equity, and/or issuance of debt raise substantial doubt about its ability to continue as a going concern. The consolidated financial statements do not include any adjustments that might result from the outcome of that uncertainty. </w:t>
      </w:r>
    </w:p>
    <w:p>
      <w:pPr>
        <w:pStyle w:val="TextBody"/>
        <w:spacing w:before="180" w:after="0"/>
        <w:jc w:val="center"/>
        <w:rPr>
          <w:rFonts w:ascii="Times New Roman" w:hAnsi="Times New Roman"/>
          <w:sz w:val="20"/>
        </w:rPr>
      </w:pPr>
      <w:r>
        <w:rPr>
          <w:rFonts w:ascii="Times New Roman" w:hAnsi="Times New Roman"/>
          <w:sz w:val="20"/>
        </w:rPr>
        <w:t xml:space="preserve">/s/ KPMG LLP </w:t>
      </w:r>
    </w:p>
    <w:p>
      <w:pPr>
        <w:pStyle w:val="TextBody"/>
        <w:spacing w:before="180" w:after="0"/>
        <w:rPr>
          <w:rFonts w:ascii="Times New Roman" w:hAnsi="Times New Roman"/>
          <w:sz w:val="20"/>
        </w:rPr>
      </w:pPr>
      <w:r>
        <w:rPr>
          <w:rFonts w:ascii="Times New Roman" w:hAnsi="Times New Roman"/>
          <w:sz w:val="20"/>
        </w:rPr>
        <w:t xml:space="preserve">Denver, Colorado </w:t>
      </w:r>
    </w:p>
    <w:p>
      <w:pPr>
        <w:pStyle w:val="TextBody"/>
        <w:spacing w:before="0" w:after="0"/>
        <w:rPr>
          <w:rFonts w:ascii="Times New Roman" w:hAnsi="Times New Roman"/>
          <w:sz w:val="20"/>
        </w:rPr>
      </w:pPr>
      <w:r>
        <w:rPr>
          <w:rFonts w:ascii="Times New Roman" w:hAnsi="Times New Roman"/>
          <w:sz w:val="20"/>
        </w:rPr>
        <w:t xml:space="preserve">March 27, 2012 </w:t>
      </w:r>
      <w:r>
        <w:br w:type="page"/>
      </w:r>
    </w:p>
    <w:p>
      <w:pPr>
        <w:pStyle w:val="TextBody"/>
        <w:spacing w:before="0" w:after="0"/>
        <w:jc w:val="right"/>
        <w:rPr>
          <w:rFonts w:ascii="Times New Roman" w:hAnsi="Times New Roman"/>
          <w:b/>
          <w:sz w:val="20"/>
        </w:rPr>
      </w:pPr>
      <w:bookmarkStart w:id="32" w:name="d280818dex311.htm"/>
      <w:bookmarkStart w:id="33" w:name="ksd280818dex311"/>
      <w:bookmarkEnd w:id="32"/>
      <w:bookmarkEnd w:id="33"/>
      <w:r>
        <w:rPr>
          <w:rFonts w:ascii="Times New Roman" w:hAnsi="Times New Roman"/>
          <w:b/>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CERTIFICATION </w:t>
      </w:r>
    </w:p>
    <w:p>
      <w:pPr>
        <w:pStyle w:val="TextBody"/>
        <w:spacing w:before="180" w:after="0"/>
        <w:rPr>
          <w:rFonts w:ascii="Times New Roman" w:hAnsi="Times New Roman"/>
          <w:sz w:val="20"/>
        </w:rPr>
      </w:pPr>
      <w:r>
        <w:rPr>
          <w:rFonts w:ascii="Times New Roman" w:hAnsi="Times New Roman"/>
          <w:sz w:val="20"/>
        </w:rPr>
        <w:t xml:space="preserve">I, Michael R. Bristow,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of ARCA biopharma,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the report our conclusions about the effectiveness of the disclosure controls and procedures, as of the end of the period covered by this annual report based on such evaluation;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Date: March 27, 2012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Michael R. Bristow</w:t>
            </w:r>
          </w:p>
        </w:tc>
      </w:tr>
      <w:tr>
        <w:trPr/>
        <w:tc>
          <w:tcPr>
            <w:tcW w:w="408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Michael R. Bristow</w:t>
            </w:r>
          </w:p>
        </w:tc>
      </w:tr>
      <w:tr>
        <w:trPr/>
        <w:tc>
          <w:tcPr>
            <w:tcW w:w="4082"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President and Chief Executive Officer</w:t>
            </w:r>
          </w:p>
        </w:tc>
      </w:tr>
    </w:tbl>
    <w:p>
      <w:pPr>
        <w:pStyle w:val="TextBody"/>
        <w:spacing w:before="0" w:after="0"/>
        <w:jc w:val="right"/>
        <w:rPr>
          <w:rFonts w:ascii="Times New Roman" w:hAnsi="Times New Roman"/>
          <w:b/>
          <w:sz w:val="20"/>
        </w:rPr>
      </w:pPr>
      <w:r>
        <w:br w:type="page"/>
      </w:r>
      <w:bookmarkStart w:id="34" w:name="d280818dex312.htm"/>
      <w:bookmarkStart w:id="35" w:name="ksd280818dex312"/>
      <w:bookmarkEnd w:id="34"/>
      <w:bookmarkEnd w:id="35"/>
      <w:r>
        <w:rPr>
          <w:rFonts w:ascii="Times New Roman" w:hAnsi="Times New Roman"/>
          <w:b/>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CERTIFICATION </w:t>
      </w:r>
    </w:p>
    <w:p>
      <w:pPr>
        <w:pStyle w:val="TextBody"/>
        <w:spacing w:before="180" w:after="0"/>
        <w:rPr>
          <w:rFonts w:ascii="Times New Roman" w:hAnsi="Times New Roman"/>
          <w:sz w:val="20"/>
        </w:rPr>
      </w:pPr>
      <w:r>
        <w:rPr>
          <w:rFonts w:ascii="Times New Roman" w:hAnsi="Times New Roman"/>
          <w:sz w:val="20"/>
        </w:rPr>
        <w:t xml:space="preserve">I, Patrick M. Wheeler,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of ARCA biopharma,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the report our conclusions about the effectiveness of the disclosure controls and procedures, as of the end of the period covered by this annual report based on such evaluation;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Date: March 27, 2012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Patrick M. Wheeler</w:t>
            </w:r>
          </w:p>
        </w:tc>
      </w:tr>
      <w:tr>
        <w:trPr/>
        <w:tc>
          <w:tcPr>
            <w:tcW w:w="408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Patrick M. Wheeler</w:t>
            </w:r>
          </w:p>
        </w:tc>
      </w:tr>
      <w:tr>
        <w:trPr/>
        <w:tc>
          <w:tcPr>
            <w:tcW w:w="4082"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Chief Financial Officer</w:t>
            </w:r>
          </w:p>
        </w:tc>
      </w:tr>
    </w:tbl>
    <w:p>
      <w:pPr>
        <w:pStyle w:val="TextBody"/>
        <w:spacing w:before="0" w:after="0"/>
        <w:jc w:val="right"/>
        <w:rPr>
          <w:rFonts w:ascii="Times New Roman" w:hAnsi="Times New Roman"/>
          <w:b/>
          <w:sz w:val="20"/>
        </w:rPr>
      </w:pPr>
      <w:r>
        <w:br w:type="page"/>
      </w:r>
      <w:bookmarkStart w:id="36" w:name="d280818dex321.htm"/>
      <w:bookmarkStart w:id="37" w:name="ksd280818dex321"/>
      <w:bookmarkEnd w:id="36"/>
      <w:bookmarkEnd w:id="37"/>
      <w:r>
        <w:rPr>
          <w:rFonts w:ascii="Times New Roman" w:hAnsi="Times New Roman"/>
          <w:b/>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ARCA BIOPHARMA, INC. </w:t>
      </w:r>
    </w:p>
    <w:p>
      <w:pPr>
        <w:pStyle w:val="TextBody"/>
        <w:spacing w:before="18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Pursuant to the requirement set forth in Rule 13a-14(b) of the Securities Exchange Act of 1934, as amended (the Exchange Act), and Section 1350 of Chapter 63 of Title 18 of the United States Code (18 U.S.C. §1350), Michael R. Bristow, Chief Executive Officer of ARCA biopharma, Inc. (the Company), and Patrick M. Wheeler, Acting Chief Financial Officer of the Company, each hereby certifies that, to the best of his knowledge: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Annual Report on Form 10-K for the period ended December 31, 2011, to which this Certification is attached as Exhibit 32.1 (the Annual Report) fully complies with the requirements of Section 13(a) or Section 15(d) of the Exchange Act,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Annual Report fairly presents, in all material respects, the financial condition and results of operations of the Company. </w:t>
            </w:r>
          </w:p>
        </w:tc>
      </w:tr>
    </w:tbl>
    <w:p>
      <w:pPr>
        <w:pStyle w:val="TextBody"/>
        <w:spacing w:before="180" w:after="0"/>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set their hands hereto as of the 27th day of March, 2012. </w:t>
      </w:r>
    </w:p>
    <w:tbl>
      <w:tblPr>
        <w:tblW w:w="5000" w:type="pct"/>
        <w:jc w:val="left"/>
        <w:tblInd w:w="0" w:type="dxa"/>
        <w:tblCellMar>
          <w:top w:w="0" w:type="dxa"/>
          <w:left w:w="0" w:type="dxa"/>
          <w:bottom w:w="0" w:type="dxa"/>
          <w:right w:w="0" w:type="dxa"/>
        </w:tblCellMar>
      </w:tblPr>
      <w:tblGrid>
        <w:gridCol w:w="4796"/>
        <w:gridCol w:w="102"/>
        <w:gridCol w:w="408"/>
        <w:gridCol w:w="102"/>
        <w:gridCol w:w="4797"/>
      </w:tblGrid>
      <w:tr>
        <w:trPr/>
        <w:tc>
          <w:tcPr>
            <w:tcW w:w="479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796"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6"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Michael R. Bristow</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Patrick M. Wheeler</w:t>
            </w:r>
          </w:p>
        </w:tc>
      </w:tr>
      <w:tr>
        <w:trPr/>
        <w:tc>
          <w:tcPr>
            <w:tcW w:w="479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Michael R. Bristow</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Patrick M. Wheeler</w:t>
            </w:r>
          </w:p>
        </w:tc>
      </w:tr>
      <w:tr>
        <w:trPr/>
        <w:tc>
          <w:tcPr>
            <w:tcW w:w="4796" w:type="dxa"/>
            <w:tcBorders/>
            <w:shd w:fill="auto" w:val="clear"/>
          </w:tcPr>
          <w:p>
            <w:pPr>
              <w:pStyle w:val="TableContents"/>
              <w:spacing w:before="0" w:after="0"/>
              <w:jc w:val="center"/>
              <w:rPr>
                <w:rFonts w:ascii="Times New Roman" w:hAnsi="Times New Roman"/>
                <w:i/>
                <w:sz w:val="20"/>
              </w:rPr>
            </w:pPr>
            <w:r>
              <w:rPr>
                <w:rFonts w:ascii="Times New Roman" w:hAnsi="Times New Roman"/>
                <w:i/>
                <w:sz w:val="20"/>
              </w:rPr>
              <w:t>President and Chief Executive Officer</w:t>
            </w:r>
          </w:p>
          <w:p>
            <w:pPr>
              <w:pStyle w:val="TableContents"/>
              <w:spacing w:before="0" w:after="15"/>
              <w:jc w:val="center"/>
              <w:rPr>
                <w:rFonts w:ascii="Times New Roman" w:hAnsi="Times New Roman"/>
                <w:i/>
                <w:sz w:val="20"/>
              </w:rPr>
            </w:pPr>
            <w:r>
              <w:rPr>
                <w:rFonts w:ascii="Times New Roman" w:hAnsi="Times New Roman"/>
                <w:i/>
                <w:sz w:val="20"/>
              </w:rPr>
              <w:t>(Principal Executive Officer)</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jc w:val="center"/>
              <w:rPr>
                <w:rFonts w:ascii="Times New Roman" w:hAnsi="Times New Roman"/>
                <w:i/>
                <w:sz w:val="20"/>
              </w:rPr>
            </w:pPr>
            <w:r>
              <w:rPr>
                <w:rFonts w:ascii="Times New Roman" w:hAnsi="Times New Roman"/>
                <w:i/>
                <w:sz w:val="20"/>
              </w:rPr>
              <w:t>Chief Financial Officer</w:t>
            </w:r>
          </w:p>
          <w:p>
            <w:pPr>
              <w:pStyle w:val="TableContents"/>
              <w:spacing w:before="0" w:after="15"/>
              <w:jc w:val="center"/>
              <w:rPr>
                <w:rFonts w:ascii="Times New Roman" w:hAnsi="Times New Roman"/>
                <w:i/>
                <w:sz w:val="20"/>
              </w:rPr>
            </w:pPr>
            <w:r>
              <w:rPr>
                <w:rFonts w:ascii="Times New Roman" w:hAnsi="Times New Roman"/>
                <w:i/>
                <w:sz w:val="20"/>
              </w:rPr>
              <w:t>(Principal Financial Officer)</w:t>
            </w:r>
          </w:p>
        </w:tc>
      </w:tr>
    </w:tbl>
    <w:p>
      <w:pPr>
        <w:pStyle w:val="TextBody"/>
        <w:spacing w:before="180" w:after="0"/>
        <w:rPr>
          <w:rFonts w:ascii="Times New Roman" w:hAnsi="Times New Roman"/>
          <w:sz w:val="20"/>
        </w:rPr>
      </w:pPr>
      <w:r>
        <w:rPr>
          <w:rFonts w:ascii="Times New Roman" w:hAnsi="Times New Roman"/>
          <w:sz w:val="20"/>
        </w:rPr>
        <w:t xml:space="preserve">A signed original of this written statement required by Section 906 of the Public Company Accounting Reform and Investor Protection Act of 2002 (18 U.S.C. § 1350, as adopted) has been provided to the Company and will be retained by the Company and furnished to the Securities and Exchange Commission or its staff upon request. This certification accompanies the Annual Report to which it relates, is not deemed filed with the Securities and Exchange Commission and is not to be incorporated by reference into any filing of ARCA biopharma, Inc. under the Securities Act of 1933, as amended, or the Securities Exchange Act of 1934, as amended (whether made before or after the date of the Annual Report), irrespective of any general incorporation language contained in such filing.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93</Pages>
  <Words>52206</Words>
  <CharactersWithSpaces>336432</CharactersWithSpaces>
  <Paragraphs>8809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of Chief Executive Officer and Chief Financial Officer</dc:title>
</cp:coreProperties>
</file>