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6679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679565"/>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Goncalves Joana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ORUKA THERAPEUTICS,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855 OAK GROVE AVE.,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Oruka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ORKA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837"/>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400" w:lineRule="exact"/>
        <w:rPr>
          <w:sz w:val="24"/>
          <w:szCs w:val="24"/>
          <w:color w:val="auto"/>
        </w:rPr>
      </w:pPr>
    </w:p>
    <w:p>
      <w:pPr>
        <w:sectPr>
          <w:pgSz w:w="11900" w:h="16838" w:orient="portrait"/>
          <w:cols w:equalWidth="0" w:num="3">
            <w:col w:w="3200" w:space="720"/>
            <w:col w:w="3103" w:space="720"/>
            <w:col w:w="3337"/>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540" w:type="dxa"/>
            <w:vAlign w:val="bottom"/>
            <w:gridSpan w:val="6"/>
          </w:tcPr>
          <w:p>
            <w:pPr>
              <w:jc w:val="right"/>
              <w:ind w:right="32"/>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2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MENLO PARK  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94025</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2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2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540" w:type="dxa"/>
            <w:vAlign w:val="bottom"/>
            <w:gridSpan w:val="2"/>
            <w:vMerge w:val="restart"/>
          </w:tcPr>
          <w:p>
            <w:pPr>
              <w:ind w:left="120"/>
              <w:spacing w:after="0"/>
              <w:rPr>
                <w:sz w:val="20"/>
                <w:szCs w:val="20"/>
                <w:color w:val="auto"/>
              </w:rPr>
            </w:pPr>
            <w:r>
              <w:rPr>
                <w:rFonts w:ascii="Arial" w:cs="Arial" w:eastAsia="Arial" w:hAnsi="Arial"/>
                <w:sz w:val="13"/>
                <w:szCs w:val="13"/>
                <w:color w:val="auto"/>
                <w:w w:val="97"/>
              </w:rPr>
              <w:t>Person</w:t>
            </w: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400" w:type="dxa"/>
            <w:vAlign w:val="bottom"/>
            <w:tcBorders>
              <w:bottom w:val="single" w:sz="8" w:color="2C2C2C"/>
            </w:tcBorders>
            <w:gridSpan w:val="8"/>
          </w:tcPr>
          <w:p>
            <w:pPr>
              <w:spacing w:after="0"/>
              <w:rPr>
                <w:sz w:val="10"/>
                <w:szCs w:val="10"/>
                <w:color w:val="auto"/>
              </w:rPr>
            </w:pPr>
          </w:p>
        </w:tc>
        <w:tc>
          <w:tcPr>
            <w:tcW w:w="5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3,500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6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6.84</w:t>
            </w:r>
          </w:p>
        </w:tc>
        <w:tc>
          <w:tcPr>
            <w:tcW w:w="1380" w:type="dxa"/>
            <w:vAlign w:val="bottom"/>
            <w:tcBorders>
              <w:bottom w:val="single" w:sz="8" w:color="2C2C2C"/>
            </w:tcBorders>
            <w:gridSpan w:val="4"/>
          </w:tcPr>
          <w:p>
            <w:pPr>
              <w:jc w:val="center"/>
              <w:ind w:left="78"/>
              <w:spacing w:after="0"/>
              <w:rPr>
                <w:sz w:val="20"/>
                <w:szCs w:val="20"/>
                <w:color w:val="auto"/>
              </w:rPr>
            </w:pPr>
            <w:r>
              <w:rPr>
                <w:rFonts w:ascii="Times New Roman" w:cs="Times New Roman" w:eastAsia="Times New Roman" w:hAnsi="Times New Roman"/>
                <w:sz w:val="17"/>
                <w:szCs w:val="17"/>
                <w:color w:val="0000FF"/>
                <w:w w:val="95"/>
              </w:rPr>
              <w:t>37,165</w:t>
            </w:r>
            <w:r>
              <w:rPr>
                <w:rFonts w:ascii="Times New Roman" w:cs="Times New Roman" w:eastAsia="Times New Roman" w:hAnsi="Times New Roman"/>
                <w:sz w:val="21"/>
                <w:szCs w:val="21"/>
                <w:color w:val="008000"/>
                <w:w w:val="95"/>
                <w:vertAlign w:val="superscript"/>
              </w:rPr>
              <w:t>(1)</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560" w:type="dxa"/>
            <w:vAlign w:val="bottom"/>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02"/>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3,500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88"/>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7.8</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0000FF"/>
                <w:w w:val="98"/>
              </w:rPr>
              <w:t>40,665</w:t>
            </w:r>
          </w:p>
        </w:tc>
        <w:tc>
          <w:tcPr>
            <w:tcW w:w="24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1,636</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68.3839</w:t>
            </w:r>
            <w:r>
              <w:rPr>
                <w:rFonts w:ascii="Times New Roman" w:cs="Times New Roman" w:eastAsia="Times New Roman" w:hAnsi="Times New Roman"/>
                <w:sz w:val="21"/>
                <w:szCs w:val="21"/>
                <w:color w:val="008000"/>
                <w:w w:val="93"/>
                <w:vertAlign w:val="superscript"/>
              </w:rPr>
              <w:t>(3)</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300"/>
              <w:spacing w:after="0"/>
              <w:rPr>
                <w:sz w:val="20"/>
                <w:szCs w:val="20"/>
                <w:color w:val="auto"/>
              </w:rPr>
            </w:pPr>
            <w:r>
              <w:rPr>
                <w:rFonts w:ascii="Times New Roman" w:cs="Times New Roman" w:eastAsia="Times New Roman" w:hAnsi="Times New Roman"/>
                <w:sz w:val="17"/>
                <w:szCs w:val="17"/>
                <w:color w:val="0000FF"/>
                <w:w w:val="98"/>
              </w:rPr>
              <w:t>39,029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5,064</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69.4209</w:t>
            </w:r>
            <w:r>
              <w:rPr>
                <w:rFonts w:ascii="Times New Roman" w:cs="Times New Roman" w:eastAsia="Times New Roman" w:hAnsi="Times New Roman"/>
                <w:sz w:val="21"/>
                <w:szCs w:val="21"/>
                <w:color w:val="008000"/>
                <w:w w:val="93"/>
                <w:vertAlign w:val="superscript"/>
              </w:rPr>
              <w:t>(4)</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300"/>
              <w:spacing w:after="0"/>
              <w:rPr>
                <w:sz w:val="20"/>
                <w:szCs w:val="20"/>
                <w:color w:val="auto"/>
              </w:rPr>
            </w:pPr>
            <w:r>
              <w:rPr>
                <w:rFonts w:ascii="Times New Roman" w:cs="Times New Roman" w:eastAsia="Times New Roman" w:hAnsi="Times New Roman"/>
                <w:sz w:val="17"/>
                <w:szCs w:val="17"/>
                <w:color w:val="0000FF"/>
                <w:w w:val="98"/>
              </w:rPr>
              <w:t>33,965</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70.6233</w:t>
            </w:r>
            <w:r>
              <w:rPr>
                <w:rFonts w:ascii="Times New Roman" w:cs="Times New Roman" w:eastAsia="Times New Roman" w:hAnsi="Times New Roman"/>
                <w:sz w:val="21"/>
                <w:szCs w:val="21"/>
                <w:color w:val="008000"/>
                <w:w w:val="93"/>
                <w:vertAlign w:val="superscript"/>
              </w:rPr>
              <w:t>(5)</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300"/>
              <w:spacing w:after="0"/>
              <w:rPr>
                <w:sz w:val="20"/>
                <w:szCs w:val="20"/>
                <w:color w:val="auto"/>
              </w:rPr>
            </w:pPr>
            <w:r>
              <w:rPr>
                <w:rFonts w:ascii="Times New Roman" w:cs="Times New Roman" w:eastAsia="Times New Roman" w:hAnsi="Times New Roman"/>
                <w:sz w:val="17"/>
                <w:szCs w:val="17"/>
                <w:color w:val="0000FF"/>
                <w:w w:val="98"/>
              </w:rPr>
              <w:t>33,665</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(6)</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947</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jc w:val="center"/>
              <w:ind w:left="6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69.69</w:t>
            </w:r>
          </w:p>
        </w:tc>
        <w:tc>
          <w:tcPr>
            <w:tcW w:w="2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300"/>
              <w:spacing w:after="0"/>
              <w:rPr>
                <w:sz w:val="20"/>
                <w:szCs w:val="20"/>
                <w:color w:val="auto"/>
              </w:rPr>
            </w:pPr>
            <w:r>
              <w:rPr>
                <w:rFonts w:ascii="Times New Roman" w:cs="Times New Roman" w:eastAsia="Times New Roman" w:hAnsi="Times New Roman"/>
                <w:sz w:val="17"/>
                <w:szCs w:val="17"/>
                <w:color w:val="0000FF"/>
                <w:w w:val="98"/>
              </w:rPr>
              <w:t>32,718</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20" w:type="dxa"/>
            <w:vAlign w:val="bottom"/>
            <w:gridSpan w:val="9"/>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9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Security</w:t>
            </w:r>
          </w:p>
        </w:tc>
        <w:tc>
          <w:tcPr>
            <w:tcW w:w="2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(Instr. 5)</w:t>
            </w:r>
          </w:p>
        </w:tc>
        <w:tc>
          <w:tcPr>
            <w:tcW w:w="22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jc w:val="center"/>
              <w:ind w:right="322"/>
              <w:spacing w:after="0" w:line="130" w:lineRule="exact"/>
              <w:rPr>
                <w:sz w:val="20"/>
                <w:szCs w:val="20"/>
                <w:color w:val="auto"/>
              </w:rPr>
            </w:pPr>
            <w:r>
              <w:rPr>
                <w:rFonts w:ascii="Arial" w:cs="Arial" w:eastAsia="Arial" w:hAnsi="Arial"/>
                <w:sz w:val="12"/>
                <w:szCs w:val="12"/>
                <w:b w:val="1"/>
                <w:bCs w:val="1"/>
                <w:color w:val="auto"/>
                <w:w w:val="99"/>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3,500</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ind w:right="161"/>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6.84</w:t>
            </w:r>
          </w:p>
        </w:tc>
        <w:tc>
          <w:tcPr>
            <w:tcW w:w="1040" w:type="dxa"/>
            <w:vAlign w:val="bottom"/>
          </w:tcPr>
          <w:p>
            <w:pPr>
              <w:jc w:val="right"/>
              <w:ind w:right="132"/>
              <w:spacing w:after="0" w:line="130" w:lineRule="exact"/>
              <w:rPr>
                <w:sz w:val="20"/>
                <w:szCs w:val="20"/>
                <w:color w:val="auto"/>
              </w:rPr>
            </w:pPr>
            <w:r>
              <w:rPr>
                <w:rFonts w:ascii="Times New Roman" w:cs="Times New Roman" w:eastAsia="Times New Roman" w:hAnsi="Times New Roman"/>
                <w:sz w:val="13"/>
                <w:szCs w:val="13"/>
                <w:color w:val="0000FF"/>
              </w:rPr>
              <w:t>06/15/2026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ind w:right="75"/>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1"/>
                <w:szCs w:val="11"/>
                <w:color w:val="auto"/>
              </w:rPr>
            </w:pPr>
          </w:p>
        </w:tc>
        <w:tc>
          <w:tcPr>
            <w:tcW w:w="68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3,500</w:t>
            </w:r>
          </w:p>
        </w:tc>
        <w:tc>
          <w:tcPr>
            <w:tcW w:w="800" w:type="dxa"/>
            <w:vAlign w:val="bottom"/>
            <w:vMerge w:val="continue"/>
          </w:tcPr>
          <w:p>
            <w:pPr>
              <w:spacing w:after="0"/>
              <w:rPr>
                <w:sz w:val="11"/>
                <w:szCs w:val="11"/>
                <w:color w:val="auto"/>
              </w:rPr>
            </w:pPr>
          </w:p>
        </w:tc>
        <w:tc>
          <w:tcPr>
            <w:tcW w:w="74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rPr>
              <w:t>05/06/2034</w:t>
            </w:r>
          </w:p>
        </w:tc>
        <w:tc>
          <w:tcPr>
            <w:tcW w:w="5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gridSpan w:val="2"/>
          </w:tcPr>
          <w:p>
            <w:pPr>
              <w:ind w:left="28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220" w:type="dxa"/>
            <w:vAlign w:val="bottom"/>
          </w:tcPr>
          <w:p>
            <w:pPr>
              <w:spacing w:after="0"/>
              <w:rPr>
                <w:sz w:val="11"/>
                <w:szCs w:val="11"/>
                <w:color w:val="auto"/>
              </w:rPr>
            </w:pPr>
          </w:p>
        </w:tc>
        <w:tc>
          <w:tcPr>
            <w:tcW w:w="640" w:type="dxa"/>
            <w:vAlign w:val="bottom"/>
          </w:tcPr>
          <w:p>
            <w:pPr>
              <w:ind w:left="200"/>
              <w:spacing w:after="0" w:line="130" w:lineRule="exact"/>
              <w:rPr>
                <w:sz w:val="20"/>
                <w:szCs w:val="20"/>
                <w:color w:val="auto"/>
              </w:rPr>
            </w:pPr>
            <w:r>
              <w:rPr>
                <w:rFonts w:ascii="Times New Roman" w:cs="Times New Roman" w:eastAsia="Times New Roman" w:hAnsi="Times New Roman"/>
                <w:sz w:val="13"/>
                <w:szCs w:val="13"/>
                <w:color w:val="0000FF"/>
                <w:w w:val="99"/>
              </w:rPr>
              <w:t>204,063</w:t>
            </w:r>
          </w:p>
        </w:tc>
        <w:tc>
          <w:tcPr>
            <w:tcW w:w="240" w:type="dxa"/>
            <w:vAlign w:val="bottom"/>
          </w:tcPr>
          <w:p>
            <w:pPr>
              <w:spacing w:after="0"/>
              <w:rPr>
                <w:sz w:val="11"/>
                <w:szCs w:val="11"/>
                <w:color w:val="auto"/>
              </w:rPr>
            </w:pPr>
          </w:p>
        </w:tc>
        <w:tc>
          <w:tcPr>
            <w:tcW w:w="68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right"/>
              <w:ind w:right="32"/>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Warrant</w:t>
            </w:r>
          </w:p>
        </w:tc>
        <w:tc>
          <w:tcPr>
            <w:tcW w:w="780" w:type="dxa"/>
            <w:vAlign w:val="bottom"/>
          </w:tcPr>
          <w:p>
            <w:pPr>
              <w:jc w:val="center"/>
              <w:ind w:right="20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7.8</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3"/>
                <w:szCs w:val="13"/>
                <w:color w:val="0000FF"/>
              </w:rPr>
              <w:t>06/15/2026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3,500</w:t>
            </w:r>
          </w:p>
        </w:tc>
        <w:tc>
          <w:tcPr>
            <w:tcW w:w="80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07/14/2034</w:t>
            </w: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3,500</w:t>
            </w:r>
          </w:p>
        </w:tc>
        <w:tc>
          <w:tcPr>
            <w:tcW w:w="52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220" w:type="dxa"/>
            <w:vAlign w:val="bottom"/>
          </w:tcPr>
          <w:p>
            <w:pPr>
              <w:spacing w:after="0"/>
              <w:rPr>
                <w:sz w:val="16"/>
                <w:szCs w:val="16"/>
                <w:color w:val="auto"/>
              </w:rPr>
            </w:pPr>
          </w:p>
        </w:tc>
        <w:tc>
          <w:tcPr>
            <w:tcW w:w="640" w:type="dxa"/>
            <w:vAlign w:val="bottom"/>
          </w:tcPr>
          <w:p>
            <w:pPr>
              <w:ind w:left="200"/>
              <w:spacing w:after="0"/>
              <w:rPr>
                <w:sz w:val="20"/>
                <w:szCs w:val="20"/>
                <w:color w:val="auto"/>
              </w:rPr>
            </w:pPr>
            <w:r>
              <w:rPr>
                <w:rFonts w:ascii="Times New Roman" w:cs="Times New Roman" w:eastAsia="Times New Roman" w:hAnsi="Times New Roman"/>
                <w:sz w:val="13"/>
                <w:szCs w:val="13"/>
                <w:color w:val="0000FF"/>
                <w:w w:val="99"/>
              </w:rPr>
              <w:t>175,492</w:t>
            </w:r>
          </w:p>
        </w:tc>
        <w:tc>
          <w:tcPr>
            <w:tcW w:w="24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jc w:val="right"/>
              <w:ind w:right="32"/>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288 shares acquired under the Oruka Therapeutics, Inc. stock purchase plan on June 8, 2026.</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sales were effected pursuant to a Rule 10b5-1 trading plan entered into on September 19, 2025.</w:t>
      </w:r>
    </w:p>
    <w:p>
      <w:pPr>
        <w:spacing w:after="0" w:line="45" w:lineRule="exact"/>
        <w:rPr>
          <w:rFonts w:ascii="Times New Roman" w:cs="Times New Roman" w:eastAsia="Times New Roman" w:hAnsi="Times New Roman"/>
          <w:sz w:val="13"/>
          <w:szCs w:val="13"/>
          <w:color w:val="008000"/>
        </w:rPr>
      </w:pPr>
    </w:p>
    <w:p>
      <w:pPr>
        <w:ind w:left="40" w:right="22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$67.97 to $68.96, inclusive. The reporting person undertakes to provide to Oruka Therapeutics, Inc., any security holder of Oruka Therapeutics, Inc., or the staff of the Securities and Exchange Commission, upon request, full information regarding the number of shares sold at each separate price within the ranges set forth in footnotes (3), (4) and (5)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$68.98 to $69.83,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$70.29 to $70.79, inclusive.</w:t>
      </w:r>
    </w:p>
    <w:p>
      <w:pPr>
        <w:spacing w:after="0" w:line="45" w:lineRule="exact"/>
        <w:rPr>
          <w:rFonts w:ascii="Times New Roman" w:cs="Times New Roman" w:eastAsia="Times New Roman" w:hAnsi="Times New Roman"/>
          <w:sz w:val="13"/>
          <w:szCs w:val="13"/>
          <w:color w:val="008000"/>
        </w:rPr>
      </w:pPr>
    </w:p>
    <w:p>
      <w:pPr>
        <w:ind w:left="40" w:right="18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sales were effected pursuant to Oruka Therapeutics, Inc.'s automatic, non-discretionary, sell-to-cover procedure to satisfy tax withholding obligations arising in connection with the vesting of restricted stock units.</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as to 1/4 of the underlying shares on April 18, 2025 and as to 1/48 of the underlying shares monthly from April 18, 2025.</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warrant vests as to 1/4 of the underlying shares on April 18, 2025 and as to 1/48 of the underlying shares monthly from April 18, 2025.</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Paul Quinlan, as attorney-</w:t>
            </w: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06/15/2026</w:t>
            </w:r>
          </w:p>
        </w:tc>
        <w:tc>
          <w:tcPr>
            <w:tcW w:w="0" w:type="dxa"/>
            <w:vAlign w:val="bottom"/>
          </w:tcPr>
          <w:p>
            <w:pPr>
              <w:spacing w:after="0"/>
              <w:rPr>
                <w:sz w:val="1"/>
                <w:szCs w:val="1"/>
                <w:color w:val="auto"/>
              </w:rPr>
            </w:pPr>
          </w:p>
        </w:tc>
      </w:tr>
      <w:tr>
        <w:trPr>
          <w:trHeight w:val="84"/>
        </w:trPr>
        <w:tc>
          <w:tcPr>
            <w:tcW w:w="1960" w:type="dxa"/>
            <w:vAlign w:val="bottom"/>
            <w:tcBorders>
              <w:top w:val="single" w:sz="8" w:color="auto"/>
            </w:tcBorders>
            <w:gridSpan w:val="2"/>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in-fact for Joana Goncalves</w:t>
            </w:r>
          </w:p>
        </w:tc>
        <w:tc>
          <w:tcPr>
            <w:tcW w:w="12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6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459" w:firstLine="3"/>
        <w:spacing w:after="0" w:line="338"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56991" TargetMode="External"/><Relationship Id="rId14" Type="http://schemas.openxmlformats.org/officeDocument/2006/relationships/hyperlink" Target="http://www.sec.gov/cgi-bin/browse-edgar?action=getcompany&amp;CIK=00009076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2026-06-15T17:55:49Z</dcterms:created>
  <dcterms:modified xsi:type="dcterms:W3CDTF">2026-06-15T17:55:49Z</dcterms:modified>
</cp:coreProperties>
</file>