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Dambkowski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ORUKA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OAK GROVE AVE.,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Oruka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ORKA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to 1/12 of the underlying shares monthly from June 2,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Quinlan, as attorney-in-fact for Carl Dambkowski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476" TargetMode="External"/><Relationship Id="rId5" Type="http://schemas.openxmlformats.org/officeDocument/2006/relationships/hyperlink" Target="http://www.sec.gov/cgi-bin/browse-edgar?action=getcompany&amp;CIK=00009076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3191</Characters>
  <CharactersWithSpaces>3720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