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7047865" cy="8713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8713470"/>
                    </a:xfrm>
                    <a:prstGeom prst="rect">
                      <a:avLst/>
                    </a:prstGeom>
                    <a:noFill/>
                  </pic:spPr>
                </pic:pic>
              </a:graphicData>
            </a:graphic>
          </wp:anchor>
        </w:drawing>
      </w:r>
    </w:p>
    <w:p>
      <w:pPr>
        <w:spacing w:after="0" w:line="1199" w:lineRule="exact"/>
        <w:rPr>
          <w:sz w:val="24"/>
          <w:szCs w:val="24"/>
          <w:color w:val="auto"/>
        </w:rPr>
      </w:pPr>
    </w:p>
    <w:p>
      <w:pPr>
        <w:sectPr>
          <w:pgSz w:w="11900" w:h="16841" w:orient="portrait"/>
          <w:cols w:equalWidth="0" w:num="2">
            <w:col w:w="2280" w:space="34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Fairmount Funds Management LLC</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right="1060"/>
        <w:spacing w:after="0" w:line="355" w:lineRule="auto"/>
        <w:rPr>
          <w:sz w:val="20"/>
          <w:szCs w:val="20"/>
          <w:color w:val="auto"/>
        </w:rPr>
      </w:pPr>
      <w:r>
        <w:rPr>
          <w:rFonts w:ascii="Times New Roman" w:cs="Times New Roman" w:eastAsia="Times New Roman" w:hAnsi="Times New Roman"/>
          <w:sz w:val="16"/>
          <w:szCs w:val="16"/>
          <w:color w:val="0000FF"/>
        </w:rPr>
        <w:t>200 BARR HARBOR DRIVE SUITE 400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Oruka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ORKA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6"/>
        <w:spacing w:after="0"/>
        <w:tabs>
          <w:tab w:leader="none" w:pos="1716"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65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65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49" w:lineRule="exact"/>
        <w:rPr>
          <w:sz w:val="24"/>
          <w:szCs w:val="24"/>
          <w:color w:val="auto"/>
        </w:rPr>
      </w:pPr>
    </w:p>
    <w:p>
      <w:pPr>
        <w:sectPr>
          <w:pgSz w:w="11900" w:h="16841" w:orient="portrait"/>
          <w:cols w:equalWidth="0" w:num="3">
            <w:col w:w="3180" w:space="720"/>
            <w:col w:w="3114" w:space="720"/>
            <w:col w:w="3346"/>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3620" w:type="dxa"/>
            <w:vAlign w:val="bottom"/>
            <w:gridSpan w:val="5"/>
            <w:vMerge w:val="restart"/>
          </w:tcPr>
          <w:p>
            <w:pPr>
              <w:ind w:left="140"/>
              <w:spacing w:after="0" w:line="141" w:lineRule="exact"/>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5"/>
            <w:vMerge w:val="restart"/>
          </w:tcPr>
          <w:p>
            <w:pPr>
              <w:ind w:left="36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1720" w:type="dxa"/>
            <w:vAlign w:val="bottom"/>
            <w:tcBorders>
              <w:top w:val="single" w:sz="8" w:color="EEEEEE"/>
            </w:tcBorders>
          </w:tcPr>
          <w:p>
            <w:pPr>
              <w:spacing w:after="0"/>
              <w:rPr>
                <w:sz w:val="3"/>
                <w:szCs w:val="3"/>
                <w:color w:val="auto"/>
              </w:rPr>
            </w:pPr>
          </w:p>
        </w:tc>
        <w:tc>
          <w:tcPr>
            <w:tcW w:w="3620" w:type="dxa"/>
            <w:vAlign w:val="bottom"/>
            <w:gridSpan w:val="5"/>
            <w:vMerge w:val="continue"/>
          </w:tcPr>
          <w:p>
            <w:pPr>
              <w:spacing w:after="0"/>
              <w:rPr>
                <w:sz w:val="3"/>
                <w:szCs w:val="3"/>
                <w:color w:val="auto"/>
              </w:rPr>
            </w:pPr>
          </w:p>
        </w:tc>
        <w:tc>
          <w:tcPr>
            <w:tcW w:w="36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ind w:left="360"/>
              <w:spacing w:after="0"/>
              <w:rPr>
                <w:sz w:val="20"/>
                <w:szCs w:val="20"/>
                <w:color w:val="auto"/>
              </w:rPr>
            </w:pPr>
            <w:r>
              <w:rPr>
                <w:rFonts w:ascii="Arial" w:cs="Arial" w:eastAsia="Arial" w:hAnsi="Arial"/>
                <w:sz w:val="13"/>
                <w:szCs w:val="13"/>
                <w:color w:val="auto"/>
              </w:rPr>
              <w:t>Line)</w:t>
            </w: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WEST</w:t>
            </w:r>
          </w:p>
        </w:tc>
        <w:tc>
          <w:tcPr>
            <w:tcW w:w="280" w:type="dxa"/>
            <w:vAlign w:val="bottom"/>
          </w:tcPr>
          <w:p>
            <w:pPr>
              <w:spacing w:after="0"/>
              <w:rPr>
                <w:sz w:val="12"/>
                <w:szCs w:val="12"/>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PA</w:t>
            </w:r>
          </w:p>
        </w:tc>
        <w:tc>
          <w:tcPr>
            <w:tcW w:w="1720" w:type="dxa"/>
            <w:vAlign w:val="bottom"/>
            <w:vMerge w:val="restart"/>
          </w:tcPr>
          <w:p>
            <w:pPr>
              <w:jc w:val="right"/>
              <w:ind w:right="629"/>
              <w:spacing w:after="0"/>
              <w:rPr>
                <w:sz w:val="20"/>
                <w:szCs w:val="20"/>
                <w:color w:val="auto"/>
              </w:rPr>
            </w:pPr>
            <w:r>
              <w:rPr>
                <w:rFonts w:ascii="Times New Roman" w:cs="Times New Roman" w:eastAsia="Times New Roman" w:hAnsi="Times New Roman"/>
                <w:sz w:val="16"/>
                <w:szCs w:val="16"/>
                <w:color w:val="0000FF"/>
              </w:rPr>
              <w:t>19428</w:t>
            </w: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9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CONSHOHOCKEN</w:t>
            </w:r>
          </w:p>
        </w:tc>
        <w:tc>
          <w:tcPr>
            <w:tcW w:w="54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9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ind w:left="20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gridSpan w:val="2"/>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8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2180" w:type="dxa"/>
            <w:vAlign w:val="bottom"/>
            <w:gridSpan w:val="2"/>
          </w:tcPr>
          <w:p>
            <w:pPr>
              <w:ind w:left="520"/>
              <w:spacing w:after="0"/>
              <w:rPr>
                <w:sz w:val="20"/>
                <w:szCs w:val="20"/>
                <w:color w:val="auto"/>
              </w:rPr>
            </w:pPr>
            <w:r>
              <w:rPr>
                <w:rFonts w:ascii="Arial" w:cs="Arial" w:eastAsia="Arial" w:hAnsi="Arial"/>
                <w:sz w:val="13"/>
                <w:szCs w:val="13"/>
                <w:color w:val="auto"/>
              </w:rPr>
              <w:t>(Zip)</w:t>
            </w: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tcPr>
          <w:p>
            <w:pPr>
              <w:spacing w:after="0"/>
              <w:rPr>
                <w:sz w:val="10"/>
                <w:szCs w:val="10"/>
                <w:color w:val="auto"/>
              </w:rPr>
            </w:pPr>
          </w:p>
        </w:tc>
        <w:tc>
          <w:tcPr>
            <w:tcW w:w="5400" w:type="dxa"/>
            <w:vAlign w:val="bottom"/>
            <w:tcBorders>
              <w:bottom w:val="single" w:sz="8" w:color="2C2C2C"/>
            </w:tcBorders>
            <w:gridSpan w:val="7"/>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8"/>
          </w:tcPr>
          <w:p>
            <w:pPr>
              <w:jc w:val="center"/>
              <w:ind w:right="156"/>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20" w:type="dxa"/>
            <w:vAlign w:val="bottom"/>
            <w:tcBorders>
              <w:bottom w:val="single" w:sz="8" w:color="2C2C2C"/>
            </w:tcBorders>
            <w:gridSpan w:val="4"/>
          </w:tcPr>
          <w:p>
            <w:pPr>
              <w:spacing w:after="0"/>
              <w:rPr>
                <w:sz w:val="2"/>
                <w:szCs w:val="2"/>
                <w:color w:val="auto"/>
              </w:rPr>
            </w:pPr>
          </w:p>
        </w:tc>
        <w:tc>
          <w:tcPr>
            <w:tcW w:w="218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80" w:type="dxa"/>
            <w:vAlign w:val="bottom"/>
            <w:gridSpan w:val="2"/>
          </w:tcPr>
          <w:p>
            <w:pPr>
              <w:ind w:left="11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80" w:type="dxa"/>
            <w:vAlign w:val="bottom"/>
            <w:gridSpan w:val="2"/>
          </w:tcPr>
          <w:p>
            <w:pPr>
              <w:ind w:left="11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200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80" w:type="dxa"/>
            <w:vAlign w:val="bottom"/>
            <w:gridSpan w:val="2"/>
          </w:tcPr>
          <w:p>
            <w:pPr>
              <w:ind w:left="11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Fairmount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80" w:type="dxa"/>
            <w:vAlign w:val="bottom"/>
            <w:gridSpan w:val="2"/>
          </w:tcPr>
          <w:p>
            <w:pPr>
              <w:jc w:val="right"/>
              <w:ind w:right="97"/>
              <w:spacing w:after="0"/>
              <w:rPr>
                <w:sz w:val="20"/>
                <w:szCs w:val="20"/>
                <w:color w:val="auto"/>
              </w:rPr>
            </w:pPr>
            <w:r>
              <w:rPr>
                <w:rFonts w:ascii="Times New Roman" w:cs="Times New Roman" w:eastAsia="Times New Roman" w:hAnsi="Times New Roman"/>
                <w:sz w:val="16"/>
                <w:szCs w:val="16"/>
                <w:color w:val="0000FF"/>
              </w:rPr>
              <w:t>07/01/2026</w:t>
            </w:r>
          </w:p>
        </w:tc>
        <w:tc>
          <w:tcPr>
            <w:tcW w:w="1060" w:type="dxa"/>
            <w:vAlign w:val="bottom"/>
          </w:tcPr>
          <w:p>
            <w:pPr>
              <w:spacing w:after="0"/>
              <w:rPr>
                <w:sz w:val="17"/>
                <w:szCs w:val="17"/>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w w:val="91"/>
              </w:rPr>
              <w:t>C</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6"/>
                <w:szCs w:val="16"/>
                <w:color w:val="0000FF"/>
              </w:rPr>
              <w:t>3,553,410</w:t>
            </w:r>
          </w:p>
        </w:tc>
        <w:tc>
          <w:tcPr>
            <w:tcW w:w="4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right"/>
              <w:ind w:right="216"/>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4,685,364</w:t>
            </w:r>
          </w:p>
        </w:tc>
        <w:tc>
          <w:tcPr>
            <w:tcW w:w="94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Healthcare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Fund II</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L.P.</w:t>
            </w:r>
            <w:r>
              <w:rPr>
                <w:rFonts w:ascii="Times New Roman" w:cs="Times New Roman" w:eastAsia="Times New Roman" w:hAnsi="Times New Roman"/>
                <w:sz w:val="21"/>
                <w:szCs w:val="21"/>
                <w:color w:val="008000"/>
                <w:vertAlign w:val="superscript"/>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84.43</w:t>
            </w: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Fairmount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80" w:type="dxa"/>
            <w:vAlign w:val="bottom"/>
            <w:gridSpan w:val="2"/>
          </w:tcPr>
          <w:p>
            <w:pPr>
              <w:jc w:val="right"/>
              <w:ind w:right="97"/>
              <w:spacing w:after="0"/>
              <w:rPr>
                <w:sz w:val="20"/>
                <w:szCs w:val="20"/>
                <w:color w:val="auto"/>
              </w:rPr>
            </w:pPr>
            <w:r>
              <w:rPr>
                <w:rFonts w:ascii="Times New Roman" w:cs="Times New Roman" w:eastAsia="Times New Roman" w:hAnsi="Times New Roman"/>
                <w:sz w:val="16"/>
                <w:szCs w:val="16"/>
                <w:color w:val="0000FF"/>
              </w:rPr>
              <w:t>07/01/2026</w:t>
            </w:r>
          </w:p>
        </w:tc>
        <w:tc>
          <w:tcPr>
            <w:tcW w:w="1060" w:type="dxa"/>
            <w:vAlign w:val="bottom"/>
          </w:tcPr>
          <w:p>
            <w:pPr>
              <w:spacing w:after="0"/>
              <w:rPr>
                <w:sz w:val="17"/>
                <w:szCs w:val="17"/>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6"/>
                <w:szCs w:val="16"/>
                <w:color w:val="0000FF"/>
              </w:rPr>
              <w:t>3,553,410</w:t>
            </w:r>
          </w:p>
        </w:tc>
        <w:tc>
          <w:tcPr>
            <w:tcW w:w="48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vMerge w:val="continue"/>
          </w:tcPr>
          <w:p>
            <w:pPr>
              <w:spacing w:after="0"/>
              <w:rPr>
                <w:sz w:val="17"/>
                <w:szCs w:val="17"/>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1,131,954</w:t>
            </w:r>
          </w:p>
        </w:tc>
        <w:tc>
          <w:tcPr>
            <w:tcW w:w="94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Healthcare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Fund II</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L.P.</w:t>
            </w:r>
            <w:r>
              <w:rPr>
                <w:rFonts w:ascii="Times New Roman" w:cs="Times New Roman" w:eastAsia="Times New Roman" w:hAnsi="Times New Roman"/>
                <w:sz w:val="21"/>
                <w:szCs w:val="21"/>
                <w:color w:val="008000"/>
                <w:vertAlign w:val="superscript"/>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Fairmount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2,573,308</w:t>
            </w:r>
          </w:p>
        </w:tc>
        <w:tc>
          <w:tcPr>
            <w:tcW w:w="940" w:type="dxa"/>
            <w:vAlign w:val="bottom"/>
          </w:tcPr>
          <w:p>
            <w:pPr>
              <w:ind w:left="460"/>
              <w:spacing w:after="0"/>
              <w:rPr>
                <w:sz w:val="20"/>
                <w:szCs w:val="20"/>
                <w:color w:val="auto"/>
              </w:rPr>
            </w:pPr>
            <w:r>
              <w:rPr>
                <w:rFonts w:ascii="Times New Roman" w:cs="Times New Roman" w:eastAsia="Times New Roman" w:hAnsi="Times New Roman"/>
                <w:sz w:val="16"/>
                <w:szCs w:val="16"/>
                <w:color w:val="0000FF"/>
              </w:rPr>
              <w:t>I</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Healthcare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Co-Invest</w:t>
            </w:r>
          </w:p>
        </w:tc>
        <w:tc>
          <w:tcPr>
            <w:tcW w:w="0" w:type="dxa"/>
            <w:vAlign w:val="bottom"/>
          </w:tcPr>
          <w:p>
            <w:pPr>
              <w:spacing w:after="0"/>
              <w:rPr>
                <w:sz w:val="1"/>
                <w:szCs w:val="1"/>
                <w:color w:val="auto"/>
              </w:rPr>
            </w:pPr>
          </w:p>
        </w:tc>
      </w:tr>
      <w:tr>
        <w:trPr>
          <w:trHeight w:val="272"/>
        </w:trPr>
        <w:tc>
          <w:tcPr>
            <w:tcW w:w="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1720" w:type="dxa"/>
            <w:vAlign w:val="bottom"/>
            <w:tcBorders>
              <w:bottom w:val="single" w:sz="8" w:color="2C2C2C"/>
            </w:tcBorders>
          </w:tcPr>
          <w:p>
            <w:pPr>
              <w:spacing w:after="0"/>
              <w:rPr>
                <w:sz w:val="23"/>
                <w:szCs w:val="23"/>
                <w:color w:val="auto"/>
              </w:rPr>
            </w:pPr>
          </w:p>
        </w:tc>
        <w:tc>
          <w:tcPr>
            <w:tcW w:w="4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6"/>
                <w:szCs w:val="16"/>
                <w:color w:val="0000FF"/>
              </w:rPr>
              <w:t>III L.P.</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Times New Roman" w:cs="Times New Roman" w:eastAsia="Times New Roman" w:hAnsi="Times New Roman"/>
                <w:sz w:val="13"/>
                <w:szCs w:val="13"/>
                <w:color w:val="0000FF"/>
              </w:rPr>
              <w:t>Series B</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3,553,410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Fairmount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Preferred</w:t>
            </w:r>
          </w:p>
        </w:tc>
        <w:tc>
          <w:tcPr>
            <w:tcW w:w="74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ind w:left="260"/>
              <w:spacing w:after="0" w:line="139" w:lineRule="exact"/>
              <w:rPr>
                <w:sz w:val="20"/>
                <w:szCs w:val="20"/>
                <w:color w:val="auto"/>
              </w:rPr>
            </w:pPr>
            <w:r>
              <w:rPr>
                <w:rFonts w:ascii="Times New Roman" w:cs="Times New Roman" w:eastAsia="Times New Roman" w:hAnsi="Times New Roman"/>
                <w:sz w:val="13"/>
                <w:szCs w:val="13"/>
                <w:color w:val="0000FF"/>
              </w:rPr>
              <w:t>07/01/2026</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2"/>
          </w:tcPr>
          <w:p>
            <w:pPr>
              <w:ind w:left="180"/>
              <w:spacing w:after="0" w:line="139" w:lineRule="exact"/>
              <w:rPr>
                <w:sz w:val="20"/>
                <w:szCs w:val="20"/>
                <w:color w:val="auto"/>
              </w:rPr>
            </w:pPr>
            <w:r>
              <w:rPr>
                <w:rFonts w:ascii="Times New Roman" w:cs="Times New Roman" w:eastAsia="Times New Roman" w:hAnsi="Times New Roman"/>
                <w:sz w:val="13"/>
                <w:szCs w:val="13"/>
                <w:color w:val="0000FF"/>
              </w:rPr>
              <w:t>C</w:t>
            </w:r>
          </w:p>
        </w:tc>
        <w:tc>
          <w:tcPr>
            <w:tcW w:w="780" w:type="dxa"/>
            <w:vAlign w:val="bottom"/>
          </w:tcPr>
          <w:p>
            <w:pPr>
              <w:ind w:left="360"/>
              <w:spacing w:after="0" w:line="139" w:lineRule="exact"/>
              <w:rPr>
                <w:sz w:val="20"/>
                <w:szCs w:val="20"/>
                <w:color w:val="auto"/>
              </w:rPr>
            </w:pPr>
            <w:r>
              <w:rPr>
                <w:rFonts w:ascii="Times New Roman" w:cs="Times New Roman" w:eastAsia="Times New Roman" w:hAnsi="Times New Roman"/>
                <w:sz w:val="13"/>
                <w:szCs w:val="13"/>
                <w:color w:val="0000FF"/>
              </w:rPr>
              <w:t>42,641</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300"/>
              <w:spacing w:after="0" w:line="139" w:lineRule="exact"/>
              <w:rPr>
                <w:sz w:val="20"/>
                <w:szCs w:val="20"/>
                <w:color w:val="auto"/>
              </w:rPr>
            </w:pPr>
            <w:r>
              <w:rPr>
                <w:rFonts w:ascii="Times New Roman" w:cs="Times New Roman" w:eastAsia="Times New Roman" w:hAnsi="Times New Roman"/>
                <w:sz w:val="13"/>
                <w:szCs w:val="13"/>
                <w:color w:val="0000FF"/>
              </w:rPr>
              <w:t>94,497</w:t>
            </w:r>
          </w:p>
        </w:tc>
        <w:tc>
          <w:tcPr>
            <w:tcW w:w="720" w:type="dxa"/>
            <w:vAlign w:val="bottom"/>
          </w:tcPr>
          <w:p>
            <w:pPr>
              <w:ind w:left="34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74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Healthcare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ind w:left="18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Fund II</w:t>
            </w:r>
          </w:p>
        </w:tc>
        <w:tc>
          <w:tcPr>
            <w:tcW w:w="0" w:type="dxa"/>
            <w:vAlign w:val="bottom"/>
          </w:tcPr>
          <w:p>
            <w:pPr>
              <w:spacing w:after="0"/>
              <w:rPr>
                <w:sz w:val="1"/>
                <w:szCs w:val="1"/>
                <w:color w:val="auto"/>
              </w:rPr>
            </w:pPr>
          </w:p>
        </w:tc>
      </w:tr>
      <w:tr>
        <w:trPr>
          <w:trHeight w:val="274"/>
        </w:trPr>
        <w:tc>
          <w:tcPr>
            <w:tcW w:w="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ind w:left="60"/>
              <w:spacing w:after="0" w:line="228" w:lineRule="exact"/>
              <w:rPr>
                <w:sz w:val="20"/>
                <w:szCs w:val="20"/>
                <w:color w:val="auto"/>
              </w:rPr>
            </w:pPr>
            <w:r>
              <w:rPr>
                <w:rFonts w:ascii="Times New Roman" w:cs="Times New Roman" w:eastAsia="Times New Roman" w:hAnsi="Times New Roman"/>
                <w:sz w:val="13"/>
                <w:szCs w:val="13"/>
                <w:color w:val="0000FF"/>
              </w:rPr>
              <w:t>L.P.</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26"/>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5"/>
          </w:tcPr>
          <w:p>
            <w:pPr>
              <w:ind w:left="60"/>
              <w:spacing w:after="0" w:line="226"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80" w:type="dxa"/>
            <w:vAlign w:val="bottom"/>
            <w:gridSpan w:val="6"/>
          </w:tcPr>
          <w:p>
            <w:pPr>
              <w:ind w:left="20"/>
              <w:spacing w:after="0" w:line="215"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Fairmount Funds Management LLC</w:t>
              </w:r>
            </w:hyperlink>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4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104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BARR HARBOR DRIVE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SUITE 400</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ind w:left="120"/>
        <w:spacing w:after="0" w:line="192" w:lineRule="auto"/>
        <w:tabs>
          <w:tab w:leader="none" w:pos="1520" w:val="left"/>
          <w:tab w:leader="none" w:pos="2900" w:val="left"/>
        </w:tabs>
        <w:rPr>
          <w:sz w:val="20"/>
          <w:szCs w:val="20"/>
          <w:color w:val="auto"/>
        </w:rPr>
      </w:pPr>
      <w:r>
        <w:rPr>
          <w:rFonts w:ascii="Times New Roman" w:cs="Times New Roman" w:eastAsia="Times New Roman" w:hAnsi="Times New Roman"/>
          <w:sz w:val="17"/>
          <w:szCs w:val="17"/>
          <w:color w:val="0000FF"/>
          <w:vertAlign w:val="superscript"/>
        </w:rPr>
        <w:t>WEST</w:t>
      </w:r>
      <w:r>
        <w:rPr>
          <w:sz w:val="20"/>
          <w:szCs w:val="20"/>
          <w:color w:val="auto"/>
        </w:rPr>
        <w:tab/>
      </w:r>
      <w:r>
        <w:rPr>
          <w:rFonts w:ascii="Times New Roman" w:cs="Times New Roman" w:eastAsia="Times New Roman" w:hAnsi="Times New Roman"/>
          <w:sz w:val="11"/>
          <w:szCs w:val="11"/>
          <w:color w:val="0000FF"/>
        </w:rPr>
        <w:t>PA</w:t>
      </w:r>
      <w:r>
        <w:rPr>
          <w:sz w:val="20"/>
          <w:szCs w:val="20"/>
          <w:color w:val="auto"/>
        </w:rPr>
        <w:tab/>
      </w:r>
      <w:r>
        <w:rPr>
          <w:rFonts w:ascii="Times New Roman" w:cs="Times New Roman" w:eastAsia="Times New Roman" w:hAnsi="Times New Roman"/>
          <w:sz w:val="16"/>
          <w:szCs w:val="16"/>
          <w:color w:val="0000FF"/>
        </w:rPr>
        <w:t>19428</w:t>
      </w:r>
    </w:p>
    <w:p>
      <w:pPr>
        <w:spacing w:after="0" w:line="10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CONSHOHOCKEN</w:t>
      </w:r>
    </w:p>
    <w:p>
      <w:pPr>
        <w:sectPr>
          <w:pgSz w:w="11900" w:h="16841" w:orient="portrait"/>
          <w:cols w:equalWidth="0" w:num="1">
            <w:col w:w="11080"/>
          </w:cols>
          <w:pgMar w:left="460" w:top="216" w:right="359" w:bottom="0" w:gutter="0" w:footer="0" w:header="0"/>
          <w:type w:val="continuous"/>
        </w:sectPr>
      </w:pPr>
    </w:p>
    <w:p>
      <w:pPr>
        <w:spacing w:after="0" w:line="305" w:lineRule="exact"/>
        <w:rPr>
          <w:sz w:val="24"/>
          <w:szCs w:val="24"/>
          <w:color w:val="auto"/>
        </w:rPr>
      </w:pPr>
    </w:p>
    <w:p>
      <w:pPr>
        <w:ind w:left="120"/>
        <w:spacing w:after="0"/>
        <w:tabs>
          <w:tab w:leader="none" w:pos="148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ectPr>
          <w:pgSz w:w="11900" w:h="16841" w:orient="portrait"/>
          <w:cols w:equalWidth="0" w:num="1">
            <w:col w:w="11080"/>
          </w:cols>
          <w:pgMar w:left="460" w:top="216" w:right="359" w:bottom="0" w:gutter="0" w:footer="0" w:header="0"/>
          <w:type w:val="continuous"/>
        </w:sectPr>
      </w:pPr>
    </w:p>
    <w:bookmarkStart w:id="1" w:name="page2"/>
    <w:bookmarkEnd w:id="1"/>
    <w:p>
      <w:pPr>
        <w:spacing w:after="0" w:line="1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2810510" cy="7345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10510" cy="734568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7">
        <w:r>
          <w:rPr>
            <w:rFonts w:ascii="Times New Roman" w:cs="Times New Roman" w:eastAsia="Times New Roman" w:hAnsi="Times New Roman"/>
            <w:sz w:val="20"/>
            <w:szCs w:val="20"/>
            <w:u w:val="single" w:color="auto"/>
            <w:color w:val="0000EE"/>
          </w:rPr>
          <w:t>Fairmount Healthcare Fund II L.P.</w:t>
        </w:r>
      </w:hyperlink>
    </w:p>
    <w:p>
      <w:pPr>
        <w:spacing w:after="0" w:line="293" w:lineRule="exact"/>
        <w:rPr>
          <w:sz w:val="20"/>
          <w:szCs w:val="20"/>
          <w:color w:val="auto"/>
        </w:rPr>
      </w:pPr>
    </w:p>
    <w:p>
      <w:pPr>
        <w:ind w:left="100"/>
        <w:spacing w:after="0"/>
        <w:tabs>
          <w:tab w:leader="none" w:pos="146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200 BARR HARBOR DRIVE</w:t>
      </w:r>
    </w:p>
    <w:p>
      <w:pPr>
        <w:spacing w:after="0" w:line="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SUITE 400</w:t>
      </w:r>
    </w:p>
    <w:p>
      <w:pPr>
        <w:spacing w:after="0" w:line="285"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ind w:left="100"/>
        <w:spacing w:after="0" w:line="192" w:lineRule="auto"/>
        <w:tabs>
          <w:tab w:leader="none" w:pos="1500" w:val="left"/>
          <w:tab w:leader="none" w:pos="2880" w:val="left"/>
        </w:tabs>
        <w:rPr>
          <w:sz w:val="20"/>
          <w:szCs w:val="20"/>
          <w:color w:val="auto"/>
        </w:rPr>
      </w:pPr>
      <w:r>
        <w:rPr>
          <w:rFonts w:ascii="Times New Roman" w:cs="Times New Roman" w:eastAsia="Times New Roman" w:hAnsi="Times New Roman"/>
          <w:sz w:val="17"/>
          <w:szCs w:val="17"/>
          <w:color w:val="0000FF"/>
          <w:vertAlign w:val="superscript"/>
        </w:rPr>
        <w:t>WEST</w:t>
      </w:r>
      <w:r>
        <w:rPr>
          <w:sz w:val="20"/>
          <w:szCs w:val="20"/>
          <w:color w:val="auto"/>
        </w:rPr>
        <w:tab/>
      </w:r>
      <w:r>
        <w:rPr>
          <w:rFonts w:ascii="Times New Roman" w:cs="Times New Roman" w:eastAsia="Times New Roman" w:hAnsi="Times New Roman"/>
          <w:sz w:val="11"/>
          <w:szCs w:val="11"/>
          <w:color w:val="0000FF"/>
        </w:rPr>
        <w:t>PA</w:t>
      </w:r>
      <w:r>
        <w:rPr>
          <w:sz w:val="20"/>
          <w:szCs w:val="20"/>
          <w:color w:val="auto"/>
        </w:rPr>
        <w:tab/>
      </w:r>
      <w:r>
        <w:rPr>
          <w:rFonts w:ascii="Times New Roman" w:cs="Times New Roman" w:eastAsia="Times New Roman" w:hAnsi="Times New Roman"/>
          <w:sz w:val="16"/>
          <w:szCs w:val="16"/>
          <w:color w:val="0000FF"/>
        </w:rPr>
        <w:t>19428</w:t>
      </w:r>
    </w:p>
    <w:p>
      <w:pPr>
        <w:spacing w:after="0" w:line="10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CONSHOHOCKEN</w:t>
      </w:r>
    </w:p>
    <w:p>
      <w:pPr>
        <w:spacing w:after="0" w:line="305" w:lineRule="exact"/>
        <w:rPr>
          <w:sz w:val="20"/>
          <w:szCs w:val="20"/>
          <w:color w:val="auto"/>
        </w:rPr>
      </w:pPr>
    </w:p>
    <w:p>
      <w:pPr>
        <w:ind w:left="100"/>
        <w:spacing w:after="0"/>
        <w:tabs>
          <w:tab w:leader="none" w:pos="146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8">
        <w:r>
          <w:rPr>
            <w:rFonts w:ascii="Times New Roman" w:cs="Times New Roman" w:eastAsia="Times New Roman" w:hAnsi="Times New Roman"/>
            <w:sz w:val="20"/>
            <w:szCs w:val="20"/>
            <w:u w:val="single" w:color="auto"/>
            <w:color w:val="0000EE"/>
          </w:rPr>
          <w:t>Fairmount Healthcare Co-Invest III L.P.</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200 BARR HARBOR DRIVE</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SUITE 400</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14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WEST</w:t>
            </w: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PA</w:t>
            </w:r>
          </w:p>
        </w:tc>
        <w:tc>
          <w:tcPr>
            <w:tcW w:w="15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19428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CONSHOHOCKEN</w:t>
            </w:r>
          </w:p>
        </w:tc>
        <w:tc>
          <w:tcPr>
            <w:tcW w:w="1220" w:type="dxa"/>
            <w:vAlign w:val="bottom"/>
            <w:gridSpan w:val="2"/>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8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79"/>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1400" w:type="dxa"/>
            <w:vAlign w:val="bottom"/>
            <w:gridSpan w:val="3"/>
          </w:tcPr>
          <w:p>
            <w:pPr>
              <w:ind w:left="20"/>
              <w:spacing w:after="0" w:line="215"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Kiselak Tomas</w:t>
              </w:r>
            </w:hyperlink>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8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200 BARR HARBOR DRIVE</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SUITE 400</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14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WEST</w:t>
            </w: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PA</w:t>
            </w:r>
          </w:p>
        </w:tc>
        <w:tc>
          <w:tcPr>
            <w:tcW w:w="15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19428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CONSHOHOCKEN</w:t>
            </w:r>
          </w:p>
        </w:tc>
        <w:tc>
          <w:tcPr>
            <w:tcW w:w="1220" w:type="dxa"/>
            <w:vAlign w:val="bottom"/>
            <w:gridSpan w:val="2"/>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8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79"/>
        </w:trPr>
        <w:tc>
          <w:tcPr>
            <w:tcW w:w="100" w:type="dxa"/>
            <w:vAlign w:val="bottom"/>
            <w:tcBorders>
              <w:bottom w:val="single" w:sz="8" w:color="2C2C2C"/>
            </w:tcBorders>
            <w:gridSpan w:val="2"/>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2"/>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2620" w:type="dxa"/>
            <w:vAlign w:val="bottom"/>
            <w:gridSpan w:val="5"/>
          </w:tcPr>
          <w:p>
            <w:pPr>
              <w:ind w:left="20"/>
              <w:spacing w:after="0" w:line="215"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Harwin Peter Evan</w:t>
              </w:r>
            </w:hyperlink>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8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200 BARR HARBOR DRIVE</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SUITE 400</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14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WEST</w:t>
            </w: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PA</w:t>
            </w:r>
          </w:p>
        </w:tc>
        <w:tc>
          <w:tcPr>
            <w:tcW w:w="15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19428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CONSHOHOCKEN</w:t>
            </w:r>
          </w:p>
        </w:tc>
        <w:tc>
          <w:tcPr>
            <w:tcW w:w="1220" w:type="dxa"/>
            <w:vAlign w:val="bottom"/>
            <w:gridSpan w:val="2"/>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8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20" w:hanging="1"/>
        <w:spacing w:after="0" w:line="234"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Series B Preferred Stock is convertible at the option of the holder into 83.3332 shares of Common Stock, subject to certain beneficial ownership limitations, including that a holder of Series B Preferred Stock is prohibited from converting shares of Series B Preferred Stock into shares of Common Stock if, as a result of such conversion, such holder, together with its affiliates, would beneficially own more than 19.99% of the total number of shares of Common Stock issued and outstanding immediately after giving effect to such conversion. On July 1, 2026, the Reporting Persons converted 42,641 shares of Series B Preferred Stock into 3,553,410 shares of Common Stock for no cash consideration, in accordance with the Certificate of Designation for the Series B Convertible Preferred Stock.</w:t>
      </w:r>
    </w:p>
    <w:p>
      <w:pPr>
        <w:spacing w:after="0" w:line="25" w:lineRule="exact"/>
        <w:rPr>
          <w:rFonts w:ascii="Times New Roman" w:cs="Times New Roman" w:eastAsia="Times New Roman" w:hAnsi="Times New Roman"/>
          <w:sz w:val="13"/>
          <w:szCs w:val="13"/>
          <w:color w:val="008000"/>
        </w:rPr>
      </w:pPr>
    </w:p>
    <w:p>
      <w:pPr>
        <w:ind w:left="20" w:hanging="1"/>
        <w:spacing w:after="0" w:line="248"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Fairmount Funds Management LLC ("Fairmount") is the investment manager for Fairmount Healthcare Fund II L.P. and Fairmount Healthcare Co-Invest III L.P. The managers of Fairmount are Peter Harwin and Tomas Kiselak. Fairmount, Mr. Harwin, and Mr. Kiselak disclaim beneficial ownership of any of the reported securities, except to the extent of their pecuniary interest therein.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Fairmount may be deemed a director by deputization of Issuer by virtue of the fact that Peter Harwin serves on the board of directors of the Issuer and is also a Managing Member of Fairmount.</w:t>
      </w:r>
    </w:p>
    <w:p>
      <w:pPr>
        <w:sectPr>
          <w:pgSz w:w="11900" w:h="16989" w:orient="portrait"/>
          <w:cols w:equalWidth="0" w:num="1">
            <w:col w:w="10860"/>
          </w:cols>
          <w:pgMar w:left="480" w:top="199" w:right="559" w:bottom="0" w:gutter="0" w:footer="0" w:header="0"/>
        </w:sectPr>
      </w:pPr>
    </w:p>
    <w:p>
      <w:pPr>
        <w:spacing w:after="0" w:line="6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Tomas Kiselak,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-3175</wp:posOffset>
            </wp:positionV>
            <wp:extent cx="12249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Member of Fairmount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-10795</wp:posOffset>
            </wp:positionV>
            <wp:extent cx="1211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-10795</wp:posOffset>
            </wp:positionV>
            <wp:extent cx="770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70255" cy="8255"/>
                    </a:xfrm>
                    <a:prstGeom prst="rect">
                      <a:avLst/>
                    </a:prstGeom>
                    <a:noFill/>
                  </pic:spPr>
                </pic:pic>
              </a:graphicData>
            </a:graphic>
          </wp:anchor>
        </w:drawing>
      </w:r>
    </w:p>
    <w:p>
      <w:pPr>
        <w:spacing w:after="0" w:line="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Tomas Kiselak,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-3175</wp:posOffset>
            </wp:positionV>
            <wp:extent cx="12249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Member of Fairmount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-10795</wp:posOffset>
            </wp:positionV>
            <wp:extent cx="9296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9296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Healthcare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-10795</wp:posOffset>
            </wp:positionV>
            <wp:extent cx="10052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Tomas Kiselak,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-3175</wp:posOffset>
            </wp:positionV>
            <wp:extent cx="12249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Member of Fairmount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-10795</wp:posOffset>
            </wp:positionV>
            <wp:extent cx="9296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9296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Healthcare Co-Invest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-10795</wp:posOffset>
            </wp:positionV>
            <wp:extent cx="12376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68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68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68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65" w:lineRule="exact"/>
        <w:rPr>
          <w:sz w:val="20"/>
          <w:szCs w:val="20"/>
          <w:color w:val="auto"/>
        </w:rPr>
      </w:pPr>
    </w:p>
    <w:p>
      <w:pPr>
        <w:sectPr>
          <w:pgSz w:w="11900" w:h="16989" w:orient="portrait"/>
          <w:cols w:equalWidth="0" w:num="2">
            <w:col w:w="8520" w:space="260"/>
            <w:col w:w="2080"/>
          </w:cols>
          <w:pgMar w:left="480" w:top="199" w:right="559" w:bottom="0" w:gutter="0" w:footer="0" w:header="0"/>
          <w:type w:val="continuous"/>
        </w:sectPr>
      </w:pPr>
    </w:p>
    <w:tbl>
      <w:tblPr>
        <w:tblLayout w:type="fixed"/>
        <w:tblInd w:w="6580" w:type="dxa"/>
        <w:tblCellMar>
          <w:top w:w="0" w:type="dxa"/>
          <w:left w:w="0" w:type="dxa"/>
          <w:bottom w:w="0" w:type="dxa"/>
          <w:right w:w="0" w:type="dxa"/>
        </w:tblCellMar>
      </w:tblPr>
      <w:tr>
        <w:trPr>
          <w:trHeight w:val="184"/>
        </w:trPr>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Tomas Kiselak</w:t>
            </w:r>
          </w:p>
        </w:tc>
        <w:tc>
          <w:tcPr>
            <w:tcW w:w="1020" w:type="dxa"/>
            <w:vAlign w:val="bottom"/>
          </w:tcPr>
          <w:p>
            <w:pPr>
              <w:spacing w:after="0"/>
              <w:rPr>
                <w:sz w:val="15"/>
                <w:szCs w:val="15"/>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07/01/2026</w:t>
            </w:r>
          </w:p>
        </w:tc>
      </w:tr>
      <w:tr>
        <w:trPr>
          <w:trHeight w:val="23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Peter Harwin</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07/01/2026</w:t>
            </w:r>
          </w:p>
        </w:tc>
      </w:tr>
      <w:tr>
        <w:trPr>
          <w:trHeight w:val="20"/>
        </w:trPr>
        <w:tc>
          <w:tcPr>
            <w:tcW w:w="10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520" w:hanging="1"/>
        <w:spacing w:after="0" w:line="380" w:lineRule="auto"/>
        <w:tabs>
          <w:tab w:leader="none" w:pos="15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989" w:orient="portrait"/>
          <w:cols w:equalWidth="0" w:num="1">
            <w:col w:w="10860"/>
          </w:cols>
          <w:pgMar w:left="480" w:top="199" w:right="559" w:bottom="0" w:gutter="0" w:footer="0" w:header="0"/>
          <w:type w:val="continuous"/>
        </w:sectPr>
      </w:pPr>
    </w:p>
    <w:bookmarkStart w:id="2" w:name="page3"/>
    <w:bookmarkEnd w:id="2"/>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13" Type="http://schemas.openxmlformats.org/officeDocument/2006/relationships/hyperlink" Target="http://www.sec.gov/cgi-bin/browse-edgar?action=getcompany&amp;CIK=0001802528" TargetMode="External"/><Relationship Id="rId14" Type="http://schemas.openxmlformats.org/officeDocument/2006/relationships/hyperlink" Target="http://www.sec.gov/cgi-bin/browse-edgar?action=getcompany&amp;CIK=0000907654" TargetMode="External"/><Relationship Id="rId17" Type="http://schemas.openxmlformats.org/officeDocument/2006/relationships/hyperlink" Target="http://www.sec.gov/cgi-bin/browse-edgar?action=getcompany&amp;CIK=0001769651" TargetMode="External"/><Relationship Id="rId18" Type="http://schemas.openxmlformats.org/officeDocument/2006/relationships/hyperlink" Target="http://www.sec.gov/cgi-bin/browse-edgar?action=getcompany&amp;CIK=0002009690" TargetMode="External"/><Relationship Id="rId19" Type="http://schemas.openxmlformats.org/officeDocument/2006/relationships/hyperlink" Target="http://www.sec.gov/cgi-bin/browse-edgar?action=getcompany&amp;CIK=0001830177" TargetMode="External"/><Relationship Id="rId20" Type="http://schemas.openxmlformats.org/officeDocument/2006/relationships/hyperlink" Target="http://www.sec.gov/cgi-bin/browse-edgar?action=getcompany&amp;CIK=00016636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2026-07-01T20:31:34Z</dcterms:created>
  <dcterms:modified xsi:type="dcterms:W3CDTF">2026-07-01T20:31:34Z</dcterms:modified>
</cp:coreProperties>
</file>