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6, 2025</w:t>
      </w:r>
    </w:p>
    <w:p>
      <w:pPr>
        <w:spacing w:after="0" w:line="31" w:lineRule="exact"/>
        <w:rPr>
          <w:sz w:val="24"/>
          <w:szCs w:val="24"/>
          <w:color w:val="auto"/>
        </w:rPr>
      </w:pPr>
    </w:p>
    <w:p>
      <w:pPr>
        <w:ind w:left="89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Oruka Therapeutics,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7640" w:type="dxa"/>
            <w:vAlign w:val="bottom"/>
            <w:gridSpan w:val="3"/>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8"/>
              </w:rPr>
              <w:t>36-3855489</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3600" w:type="dxa"/>
            <w:vAlign w:val="bottom"/>
            <w:tcBorders>
              <w:top w:val="single" w:sz="8" w:color="auto"/>
            </w:tcBorders>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40" w:type="dxa"/>
            <w:vAlign w:val="bottom"/>
            <w:gridSpan w:val="3"/>
          </w:tcPr>
          <w:p>
            <w:pPr>
              <w:jc w:val="center"/>
              <w:ind w:right="21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40" w:type="dxa"/>
            <w:vAlign w:val="bottom"/>
            <w:gridSpan w:val="3"/>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w w:val="99"/>
              </w:rPr>
              <w:t>Oruka Therapeutics, Inc.</w:t>
            </w:r>
          </w:p>
        </w:tc>
        <w:tc>
          <w:tcPr>
            <w:tcW w:w="3600" w:type="dxa"/>
            <w:vAlign w:val="bottom"/>
          </w:tcPr>
          <w:p>
            <w:pPr>
              <w:spacing w:after="0"/>
              <w:rPr>
                <w:sz w:val="24"/>
                <w:szCs w:val="24"/>
                <w:color w:val="auto"/>
              </w:rPr>
            </w:pPr>
          </w:p>
        </w:tc>
      </w:tr>
      <w:tr>
        <w:trPr>
          <w:trHeight w:val="216"/>
        </w:trPr>
        <w:tc>
          <w:tcPr>
            <w:tcW w:w="7640" w:type="dxa"/>
            <w:vAlign w:val="bottom"/>
            <w:gridSpan w:val="3"/>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w w:val="99"/>
              </w:rPr>
              <w:t>855 Oak Grove Avenue, Suite 100</w:t>
            </w:r>
          </w:p>
        </w:tc>
        <w:tc>
          <w:tcPr>
            <w:tcW w:w="3600" w:type="dxa"/>
            <w:vAlign w:val="bottom"/>
          </w:tcPr>
          <w:p>
            <w:pPr>
              <w:spacing w:after="0"/>
              <w:rPr>
                <w:sz w:val="18"/>
                <w:szCs w:val="18"/>
                <w:color w:val="auto"/>
              </w:rPr>
            </w:pPr>
          </w:p>
        </w:tc>
      </w:tr>
      <w:tr>
        <w:trPr>
          <w:trHeight w:val="220"/>
        </w:trPr>
        <w:tc>
          <w:tcPr>
            <w:tcW w:w="764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Menlo Park, California 94025</w:t>
            </w:r>
          </w:p>
        </w:tc>
        <w:tc>
          <w:tcPr>
            <w:tcW w:w="3600" w:type="dxa"/>
            <w:vAlign w:val="bottom"/>
          </w:tcPr>
          <w:p>
            <w:pPr>
              <w:spacing w:after="0"/>
              <w:rPr>
                <w:sz w:val="19"/>
                <w:szCs w:val="19"/>
                <w:color w:val="auto"/>
              </w:rPr>
            </w:pPr>
          </w:p>
        </w:tc>
      </w:tr>
      <w:tr>
        <w:trPr>
          <w:trHeight w:val="234"/>
        </w:trPr>
        <w:tc>
          <w:tcPr>
            <w:tcW w:w="7640" w:type="dxa"/>
            <w:vAlign w:val="bottom"/>
            <w:gridSpan w:val="3"/>
          </w:tcPr>
          <w:p>
            <w:pPr>
              <w:jc w:val="center"/>
              <w:ind w:left="353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3600" w:type="dxa"/>
            <w:vAlign w:val="bottom"/>
          </w:tcPr>
          <w:p>
            <w:pPr>
              <w:spacing w:after="0"/>
              <w:rPr>
                <w:sz w:val="20"/>
                <w:szCs w:val="20"/>
                <w:color w:val="auto"/>
              </w:rPr>
            </w:pPr>
          </w:p>
        </w:tc>
      </w:tr>
    </w:tbl>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Oruka Therapeutics, Inc. 2024 Stock Incentive Plan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Oruka Therapeutics, Inc. 2024 Employee Stock Purchase Plan</w:t>
      </w: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Quinlan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Oak Grove Avenue, 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Menlo Park, California 94025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606-7910</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Gina Hancock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Gibson, Dunn &amp; Crutcher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2001 Ross Ave, Suite 2100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698-3100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Registration Statement on Form S-8 is being filed by Oruka Therapeutics, Inc., a Delaware corporation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pursuant to General Instruction E to Form S-8,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in order to register an additional (i) 2,753,543 shares of its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issuable under the Oruka Therapeutics, Inc. 2024 Stock Incentive Plan (the “</w:t>
      </w:r>
      <w:r>
        <w:rPr>
          <w:rFonts w:ascii="Times New Roman" w:cs="Times New Roman" w:eastAsia="Times New Roman" w:hAnsi="Times New Roman"/>
          <w:sz w:val="18"/>
          <w:szCs w:val="18"/>
          <w:b w:val="1"/>
          <w:bCs w:val="1"/>
          <w:i w:val="1"/>
          <w:iCs w:val="1"/>
          <w:color w:val="auto"/>
        </w:rPr>
        <w:t>SIP</w:t>
      </w:r>
      <w:r>
        <w:rPr>
          <w:rFonts w:ascii="Times New Roman" w:cs="Times New Roman" w:eastAsia="Times New Roman" w:hAnsi="Times New Roman"/>
          <w:sz w:val="18"/>
          <w:szCs w:val="18"/>
          <w:color w:val="auto"/>
        </w:rPr>
        <w:t>”), and (ii) 550,709 shares of Common Stock issuable under the Oruka Therapeutics, Inc. 2024 Employee Stock Purchase Plan (the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pursuant to the provisions of those plans providing for an automatic increase in the number of shares reserved for issuance under such plans.</w:t>
      </w:r>
    </w:p>
    <w:p>
      <w:pPr>
        <w:spacing w:after="0" w:line="183"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Registrant’s registration statement on Form S-8 previously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on November 14, 2024 (File No. </w:t>
      </w:r>
      <w:hyperlink r:id="rId16">
        <w:r>
          <w:rPr>
            <w:rFonts w:ascii="Times New Roman" w:cs="Times New Roman" w:eastAsia="Times New Roman" w:hAnsi="Times New Roman"/>
            <w:sz w:val="18"/>
            <w:szCs w:val="18"/>
            <w:u w:val="single" w:color="auto"/>
            <w:color w:val="0000EE"/>
          </w:rPr>
          <w:t>333-283243</w:t>
        </w:r>
      </w:hyperlink>
      <w:r>
        <w:rPr>
          <w:rFonts w:ascii="Times New Roman" w:cs="Times New Roman" w:eastAsia="Times New Roman" w:hAnsi="Times New Roman"/>
          <w:sz w:val="18"/>
          <w:szCs w:val="18"/>
          <w:color w:val="auto"/>
        </w:rPr>
        <w:t>), together with all exhibits filed therewith or incorporated therein by reference, are hereby incorporated by reference pursuant to General Instruction E to Form S-8, and the shares of Common Stock registered hereunder are in addition to the shares of Common Stock registered on such registration statement with respect to the SIP and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80" w:type="dxa"/>
            <w:vAlign w:val="bottom"/>
            <w:gridSpan w:val="7"/>
          </w:tcPr>
          <w:p>
            <w:pPr>
              <w:jc w:val="center"/>
              <w:ind w:right="5160"/>
              <w:spacing w:after="0"/>
              <w:rPr>
                <w:sz w:val="20"/>
                <w:szCs w:val="20"/>
                <w:color w:val="auto"/>
              </w:rPr>
            </w:pPr>
            <w:r>
              <w:rPr>
                <w:rFonts w:ascii="Times New Roman" w:cs="Times New Roman" w:eastAsia="Times New Roman" w:hAnsi="Times New Roman"/>
                <w:sz w:val="18"/>
                <w:szCs w:val="18"/>
                <w:b w:val="1"/>
                <w:bCs w:val="1"/>
                <w:color w:val="auto"/>
                <w:w w:val="94"/>
              </w:rPr>
              <w:t>PART II</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80" w:type="dxa"/>
            <w:vAlign w:val="bottom"/>
            <w:gridSpan w:val="9"/>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INFORMATION REQUIRED IN THE REGISTRATION STATEMENT</w:t>
            </w:r>
          </w:p>
        </w:tc>
      </w:tr>
      <w:tr>
        <w:trPr>
          <w:trHeight w:val="238"/>
        </w:trPr>
        <w:tc>
          <w:tcPr>
            <w:tcW w:w="112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tcBorders>
            <w:gridSpan w:val="10"/>
            <w:shd w:val="clear" w:color="auto" w:fill="CCEEFF"/>
          </w:tcPr>
          <w:p>
            <w:pPr>
              <w:spacing w:after="0" w:line="169"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Second Amended and Restated Certificate of Incorporation of Oruka Therapeutics, Inc. (incorporated by reference to Exhibit 3.5 of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Registrant’s Current Report on Form 8-K, filed with the Commission on September 5, 2024).</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Amended and Restated Bylaws of Oruka Therapeutics, Inc. (incorporated by reference to Exhibit 3.6 of the Registrant’s Current Report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Form 8-K, filed with the Commission on September 5,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31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Opinion of Gibson, Dunn &amp; Crutcher LLP.</w:t>
            </w:r>
          </w:p>
        </w:tc>
        <w:tc>
          <w:tcPr>
            <w:tcW w:w="7000" w:type="dxa"/>
            <w:vAlign w:val="bottom"/>
            <w:tcBorders>
              <w:bottom w:val="single" w:sz="8" w:color="CCEEFF"/>
            </w:tcBorders>
            <w:gridSpan w:val="8"/>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5"/>
                <w:szCs w:val="15"/>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Gibson, Dunn &amp; Crutcher LLP (included in Exhibit 5.1).</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 to this Registration Statement).</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Oruka Therapeutics, Inc. 2024 Stock Incentive Plan (incorporated by reference to Exhibit 10.10 of the Registrant’s Current Report on Form</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2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8-K, filed with the Commission on September 5, 2024).</w:t>
              </w:r>
            </w:hyperlink>
          </w:p>
        </w:tc>
        <w:tc>
          <w:tcPr>
            <w:tcW w:w="6080" w:type="dxa"/>
            <w:vAlign w:val="bottom"/>
            <w:tcBorders>
              <w:bottom w:val="single" w:sz="8" w:color="CCEEFF"/>
            </w:tcBorders>
            <w:gridSpan w:val="7"/>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Oruka Therapeutics, Inc. 2024 Employee Stock Purchase Plan (incorporated by reference to Exhibit 10.11 of the Registrant’s Current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Report on Form 8-K, filed with the Commission on September 5, 2024).</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107.1*</w:t>
            </w:r>
          </w:p>
        </w:tc>
        <w:tc>
          <w:tcPr>
            <w:tcW w:w="120" w:type="dxa"/>
            <w:vAlign w:val="bottom"/>
            <w:shd w:val="clear" w:color="auto" w:fill="CCEEFF"/>
          </w:tcPr>
          <w:p>
            <w:pPr>
              <w:spacing w:after="0"/>
              <w:rPr>
                <w:sz w:val="15"/>
                <w:szCs w:val="15"/>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Menlo Park California, on the 6th day of March, 2025.</w:t>
      </w:r>
    </w:p>
    <w:p>
      <w:pPr>
        <w:spacing w:after="0" w:line="3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25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Lawrence Klein</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Lawrence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Lawrence Klein, Arjun Agarwal, and Paul Quinlan and each of them (with full power to each of them to act alone), the individual’s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each of said attorneys-in-fact and agents, or any of them, or their substitutes, may lawfully do or cause to be done by virtue hereof.</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below by the following persons in the capacities and on the dates indicated.</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2"/>
                <w:szCs w:val="22"/>
                <w:color w:val="auto"/>
              </w:rPr>
            </w:pPr>
          </w:p>
        </w:tc>
        <w:tc>
          <w:tcPr>
            <w:tcW w:w="45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2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Klein</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Lawrence Klein</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Arjun Agarwal</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and Treasurer</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Arjun Agarwal</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Samarth Kulkarni</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Samarth Kulkarni</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Kristine Ball</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Kristine Ball</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 Dambkowski</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Carl Dambkowski</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Harwin</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Peter Harwin</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Cameron Turtle</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Cameron Turtle</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19685</wp:posOffset>
            </wp:positionV>
            <wp:extent cx="19888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475" w:lineRule="exact"/>
        <w:rPr>
          <w:sz w:val="20"/>
          <w:szCs w:val="20"/>
          <w:color w:val="auto"/>
        </w:rPr>
      </w:pPr>
    </w:p>
    <w:p>
      <w:pPr>
        <w:sectPr>
          <w:pgSz w:w="11900" w:h="16838" w:orient="portrait"/>
          <w:cols w:equalWidth="0" w:num="2">
            <w:col w:w="8420" w:space="720"/>
            <w:col w:w="2100"/>
          </w:cols>
          <w:pgMar w:left="320" w:top="900" w:right="3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57734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57734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Oruka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855 Oak Grove Avenue,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Menlo Park, CA 94025</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Oruka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on Form S-8</w:t>
      </w:r>
    </w:p>
    <w:p>
      <w:pPr>
        <w:spacing w:after="0" w:line="200" w:lineRule="exact"/>
        <w:rPr>
          <w:sz w:val="20"/>
          <w:szCs w:val="20"/>
          <w:color w:val="auto"/>
        </w:rPr>
      </w:pPr>
    </w:p>
    <w:p>
      <w:pPr>
        <w:sectPr>
          <w:pgSz w:w="11900" w:h="16838" w:orient="portrait"/>
          <w:cols w:equalWidth="0" w:num="2">
            <w:col w:w="900" w:space="400"/>
            <w:col w:w="9940"/>
          </w:cols>
          <w:pgMar w:left="320" w:top="117"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We have examined the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of Oruka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in connection with the offering by the Company of up to an additional (i) 2,753,543 shares of the Company’s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issuable under the Oruka Therapeutics, Inc. 2024 Stock Incentive Plan (the “</w:t>
      </w:r>
      <w:r>
        <w:rPr>
          <w:rFonts w:ascii="Times New Roman" w:cs="Times New Roman" w:eastAsia="Times New Roman" w:hAnsi="Times New Roman"/>
          <w:sz w:val="18"/>
          <w:szCs w:val="18"/>
          <w:b w:val="1"/>
          <w:bCs w:val="1"/>
          <w:i w:val="1"/>
          <w:iCs w:val="1"/>
          <w:color w:val="auto"/>
        </w:rPr>
        <w:t>SIP</w:t>
      </w:r>
      <w:r>
        <w:rPr>
          <w:rFonts w:ascii="Times New Roman" w:cs="Times New Roman" w:eastAsia="Times New Roman" w:hAnsi="Times New Roman"/>
          <w:sz w:val="18"/>
          <w:szCs w:val="18"/>
          <w:color w:val="auto"/>
        </w:rPr>
        <w:t>”), and (ii) 550,709 shares of Common Stock issuable under the Oruka Therapeutics, Inc. 2024 Employee Stock Purchase Plan (together with the SIP, the “</w:t>
      </w:r>
      <w:r>
        <w:rPr>
          <w:rFonts w:ascii="Times New Roman" w:cs="Times New Roman" w:eastAsia="Times New Roman" w:hAnsi="Times New Roman"/>
          <w:sz w:val="18"/>
          <w:szCs w:val="18"/>
          <w:b w:val="1"/>
          <w:bCs w:val="1"/>
          <w:i w:val="1"/>
          <w:iCs w:val="1"/>
          <w:color w:val="auto"/>
        </w:rPr>
        <w:t>Incentive Plans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arriving at the opinions expressed below, we have examined originals, or copies certified or otherwise identified to our satisfaction as being true and complete copies of the originals, of the Incentive Plans and such other documents, corporate records, certificates of officers of the Company and of public officials and other instruments as we have deemed necessary or advisable to enable us to render these opinions.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 We have also assumed without independent investigation that there are no agreements or understandings between or among the Company and any participants in the Incentive Plans that would expand, modify or otherwise affect the terms of the Incentive Plans or the respective rights or obligations of the participants thereunder.</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the foregoing examination and in reliance thereon, and subject to the assumptions stated and in reliance on statements of fact contained in the documents that we have examined, we are of the opinion that the shares of Common Stock issuable under the Incentive Plans, when issued and sold in accordance with the terms of the respective Incentive Plans and against payment therefor, and when the Registration Statement has become effective under the Securities Act, will be validly issued, fully paid and non-assessable.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Gibson, Dunn &amp; Crutcher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2001 Ross Avenue Suite 2100 | Dallas, TX 75201-2923 | T: 214.698.3100 | F: 214.571.2900 | gibsondunn.com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7734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577340" cy="179705"/>
                    </a:xfrm>
                    <a:prstGeom prst="rect">
                      <a:avLst/>
                    </a:prstGeom>
                    <a:noFill/>
                  </pic:spPr>
                </pic:pic>
              </a:graphicData>
            </a:graphic>
          </wp:anchor>
        </w:drawing>
        <w:t>Oruka Therapeutics, Inc.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March 6, 2025</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ectPr>
          <w:pgSz w:w="11900" w:h="16838" w:orient="portrait"/>
          <w:cols w:equalWidth="0" w:num="2">
            <w:col w:w="9460" w:space="720"/>
            <w:col w:w="1060"/>
          </w:cols>
          <w:pgMar w:left="320" w:top="1404" w:right="339" w:bottom="1440" w:gutter="0" w:footer="0" w:header="0"/>
        </w:sectPr>
      </w:pPr>
    </w:p>
    <w:p>
      <w:pPr>
        <w:spacing w:after="0" w:line="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We render no opinion herein as to matters involving the laws of any jurisdiction other than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We are not admitted to practice in the State of Delaware; however, we are generally familiar with the DGCL as currently in effect and have made such inquiries as we consider necessary to render the opinions above. This opinion is limited to the effect of the current state of the law of the DGCL and the facts as they currently exist. We assume no obligation to revise or supplement this opinion in the event of future changes in such law or the interpretations thereof or such facts. We express no opinion regarding any state securities laws or regulations.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we further consent to the use of our name in the Registration Statement and the prospectus that forms a part thereof. In giving this consent, we do not thereby admit that we are within the category of persons whose consent is required under Section 7 of the Securities Act or the Rules and Regulations of the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Gibson, Dunn &amp; Crutcher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Oruka Therapeutics, Inc. of our report dated March 6, 2025 relating to the financial statements, which appears in Oruka Therapeutics, Inc.’s Annual Report on Form 10-K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ectPr>
          <w:pgSz w:w="11900" w:h="16838" w:orient="portrait"/>
          <w:cols w:equalWidth="0" w:num="1">
            <w:col w:w="11240"/>
          </w:cols>
          <w:pgMar w:left="320" w:top="117" w:right="339" w:bottom="1440" w:gutter="0" w:footer="0" w:header="0"/>
        </w:sectPr>
      </w:pPr>
    </w:p>
    <w:bookmarkStart w:id="7" w:name="page8"/>
    <w:bookmarkEnd w:id="7"/>
    <w:p>
      <w:pPr>
        <w:ind w:left="10020"/>
        <w:spacing w:after="0"/>
        <w:rPr>
          <w:sz w:val="20"/>
          <w:szCs w:val="20"/>
          <w:color w:val="auto"/>
        </w:rPr>
      </w:pPr>
      <w:r>
        <w:rPr>
          <w:rFonts w:ascii="Times New Roman" w:cs="Times New Roman" w:eastAsia="Times New Roman" w:hAnsi="Times New Roman"/>
          <w:sz w:val="21"/>
          <w:szCs w:val="21"/>
          <w:b w:val="1"/>
          <w:bCs w:val="1"/>
          <w:color w:val="auto"/>
        </w:rPr>
        <w:t>Exhibit 107.1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Table 1: Newly Registered Securities</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00" w:type="dxa"/>
            <w:vAlign w:val="bottom"/>
          </w:tcPr>
          <w:p>
            <w:pPr>
              <w:spacing w:after="0"/>
              <w:rPr>
                <w:sz w:val="18"/>
                <w:szCs w:val="18"/>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184"/>
        </w:trPr>
        <w:tc>
          <w:tcPr>
            <w:tcW w:w="9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Security</w:t>
            </w:r>
          </w:p>
        </w:tc>
        <w:tc>
          <w:tcPr>
            <w:tcW w:w="2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Class</w:t>
            </w:r>
          </w:p>
        </w:tc>
        <w:tc>
          <w:tcPr>
            <w:tcW w:w="100" w:type="dxa"/>
            <w:vAlign w:val="bottom"/>
          </w:tcPr>
          <w:p>
            <w:pPr>
              <w:spacing w:after="0"/>
              <w:rPr>
                <w:sz w:val="16"/>
                <w:szCs w:val="16"/>
                <w:color w:val="auto"/>
              </w:rPr>
            </w:pPr>
          </w:p>
        </w:tc>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Calculation</w:t>
            </w: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Price Per</w:t>
            </w:r>
          </w:p>
        </w:tc>
        <w:tc>
          <w:tcPr>
            <w:tcW w:w="80" w:type="dxa"/>
            <w:vAlign w:val="bottom"/>
          </w:tcPr>
          <w:p>
            <w:pPr>
              <w:spacing w:after="0"/>
              <w:rPr>
                <w:sz w:val="16"/>
                <w:szCs w:val="16"/>
                <w:color w:val="auto"/>
              </w:rPr>
            </w:pPr>
          </w:p>
        </w:tc>
        <w:tc>
          <w:tcPr>
            <w:tcW w:w="13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15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Fee</w:t>
            </w:r>
          </w:p>
        </w:tc>
        <w:tc>
          <w:tcPr>
            <w:tcW w:w="122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7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2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Registered</w:t>
            </w:r>
            <w:r>
              <w:rPr>
                <w:rFonts w:ascii="Times New Roman" w:cs="Times New Roman" w:eastAsia="Times New Roman" w:hAnsi="Times New Roman"/>
                <w:sz w:val="29"/>
                <w:szCs w:val="29"/>
                <w:b w:val="1"/>
                <w:bCs w:val="1"/>
                <w:color w:val="auto"/>
                <w:w w:val="95"/>
                <w:vertAlign w:val="superscript"/>
              </w:rPr>
              <w:t>(1)</w:t>
            </w:r>
          </w:p>
        </w:tc>
        <w:tc>
          <w:tcPr>
            <w:tcW w:w="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40" w:type="dxa"/>
            <w:vAlign w:val="bottom"/>
            <w:tcBorders>
              <w:bottom w:val="single" w:sz="8" w:color="CCEEFF"/>
            </w:tcBorders>
            <w:gridSpan w:val="2"/>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Fee</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Common stock, $0.001 par</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Rule 457(a)</w:t>
            </w:r>
            <w:r>
              <w:rPr>
                <w:rFonts w:ascii="Times New Roman" w:cs="Times New Roman" w:eastAsia="Times New Roman" w:hAnsi="Times New Roman"/>
                <w:sz w:val="23"/>
                <w:szCs w:val="23"/>
                <w:color w:val="auto"/>
                <w:vertAlign w:val="superscript"/>
              </w:rPr>
              <w:t>(2)</w:t>
            </w:r>
          </w:p>
        </w:tc>
        <w:tc>
          <w:tcPr>
            <w:tcW w:w="14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2,753,543</w:t>
            </w:r>
            <w:r>
              <w:rPr>
                <w:rFonts w:ascii="Times New Roman" w:cs="Times New Roman" w:eastAsia="Times New Roman" w:hAnsi="Times New Roman"/>
                <w:sz w:val="29"/>
                <w:szCs w:val="29"/>
                <w:color w:val="auto"/>
                <w:vertAlign w:val="superscript"/>
              </w:rPr>
              <w:t>(3)</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10.11</w:t>
            </w:r>
          </w:p>
        </w:tc>
        <w:tc>
          <w:tcPr>
            <w:tcW w:w="60" w:type="dxa"/>
            <w:vAlign w:val="bottom"/>
            <w:shd w:val="clear" w:color="auto" w:fill="CCEEFF"/>
          </w:tcPr>
          <w:p>
            <w:pPr>
              <w:spacing w:after="0"/>
              <w:rPr>
                <w:sz w:val="17"/>
                <w:szCs w:val="17"/>
                <w:color w:val="auto"/>
              </w:rPr>
            </w:pPr>
          </w:p>
        </w:tc>
        <w:tc>
          <w:tcPr>
            <w:tcW w:w="1440" w:type="dxa"/>
            <w:vAlign w:val="bottom"/>
            <w:gridSpan w:val="3"/>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$ 27,838,319.73</w:t>
            </w:r>
          </w:p>
        </w:tc>
        <w:tc>
          <w:tcPr>
            <w:tcW w:w="14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$153.10 per</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4,262.05</w:t>
            </w: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per share</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40" w:type="dxa"/>
            <w:vAlign w:val="bottom"/>
            <w:gridSpan w:val="3"/>
            <w:vMerge w:val="continue"/>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gridSpan w:val="3"/>
            <w:vMerge w:val="continue"/>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Equity</w:t>
            </w:r>
          </w:p>
        </w:tc>
        <w:tc>
          <w:tcPr>
            <w:tcW w:w="20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Common stock, $0.001 par</w:t>
            </w:r>
          </w:p>
        </w:tc>
        <w:tc>
          <w:tcPr>
            <w:tcW w:w="13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5"/>
                <w:szCs w:val="15"/>
                <w:color w:val="auto"/>
              </w:rPr>
              <w:t>Rule 457(a)</w:t>
            </w:r>
            <w:r>
              <w:rPr>
                <w:rFonts w:ascii="Times New Roman" w:cs="Times New Roman" w:eastAsia="Times New Roman" w:hAnsi="Times New Roman"/>
                <w:sz w:val="23"/>
                <w:szCs w:val="23"/>
                <w:color w:val="auto"/>
                <w:vertAlign w:val="superscript"/>
              </w:rPr>
              <w:t>(2)</w:t>
            </w:r>
          </w:p>
        </w:tc>
        <w:tc>
          <w:tcPr>
            <w:tcW w:w="14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550,709</w:t>
            </w:r>
            <w:r>
              <w:rPr>
                <w:rFonts w:ascii="Times New Roman" w:cs="Times New Roman" w:eastAsia="Times New Roman" w:hAnsi="Times New Roman"/>
                <w:sz w:val="29"/>
                <w:szCs w:val="29"/>
                <w:color w:val="auto"/>
                <w:vertAlign w:val="superscript"/>
              </w:rPr>
              <w:t>(4)</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10.11</w:t>
            </w:r>
          </w:p>
        </w:tc>
        <w:tc>
          <w:tcPr>
            <w:tcW w:w="60" w:type="dxa"/>
            <w:vAlign w:val="bottom"/>
          </w:tcPr>
          <w:p>
            <w:pPr>
              <w:spacing w:after="0"/>
              <w:rPr>
                <w:sz w:val="17"/>
                <w:szCs w:val="17"/>
                <w:color w:val="auto"/>
              </w:rPr>
            </w:pPr>
          </w:p>
        </w:tc>
        <w:tc>
          <w:tcPr>
            <w:tcW w:w="14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rPr>
              <w:t>$ 5,567,667.99</w:t>
            </w:r>
          </w:p>
        </w:tc>
        <w:tc>
          <w:tcPr>
            <w:tcW w:w="15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$153.10 per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852.41</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value per share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3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380" w:type="dxa"/>
            <w:vAlign w:val="bottom"/>
            <w:shd w:val="clear" w:color="auto" w:fill="CCEEFF"/>
          </w:tcPr>
          <w:p>
            <w:pPr>
              <w:jc w:val="center"/>
              <w:ind w:left="10"/>
              <w:spacing w:after="0" w:line="203" w:lineRule="exact"/>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4640" w:type="dxa"/>
            <w:vAlign w:val="bottom"/>
            <w:gridSpan w:val="3"/>
            <w:shd w:val="clear" w:color="auto" w:fill="CCEEFF"/>
          </w:tcPr>
          <w:p>
            <w:pPr>
              <w:jc w:val="right"/>
              <w:ind w:right="1780"/>
              <w:spacing w:after="0" w:line="203"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33,405,987.72</w:t>
            </w:r>
          </w:p>
        </w:tc>
        <w:tc>
          <w:tcPr>
            <w:tcW w:w="300" w:type="dxa"/>
            <w:vAlign w:val="bottom"/>
            <w:shd w:val="clear" w:color="auto" w:fill="CCEEFF"/>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5,114.46</w:t>
            </w:r>
          </w:p>
        </w:tc>
      </w:tr>
      <w:tr>
        <w:trPr>
          <w:trHeight w:val="210"/>
        </w:trPr>
        <w:tc>
          <w:tcPr>
            <w:tcW w:w="5380" w:type="dxa"/>
            <w:vAlign w:val="bottom"/>
            <w:tcBorders>
              <w:top w:val="single" w:sz="8" w:color="CCEEFF"/>
              <w:bottom w:val="single" w:sz="8" w:color="CCEEFF"/>
            </w:tcBorders>
          </w:tcPr>
          <w:p>
            <w:pPr>
              <w:jc w:val="center"/>
              <w:ind w:left="30"/>
              <w:spacing w:after="0" w:line="203" w:lineRule="exact"/>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7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CCEEFF"/>
            </w:tcBorders>
          </w:tcPr>
          <w:p>
            <w:pPr>
              <w:spacing w:after="0"/>
              <w:rPr>
                <w:sz w:val="18"/>
                <w:szCs w:val="18"/>
                <w:color w:val="auto"/>
              </w:rPr>
            </w:pPr>
          </w:p>
        </w:tc>
        <w:tc>
          <w:tcPr>
            <w:tcW w:w="17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5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7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5,114.46</w:t>
            </w:r>
          </w:p>
        </w:tc>
      </w:tr>
      <w:tr>
        <w:trPr>
          <w:trHeight w:val="21"/>
        </w:trPr>
        <w:tc>
          <w:tcPr>
            <w:tcW w:w="53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both"/>
        <w:ind w:left="340" w:hanging="332"/>
        <w:spacing w:after="0" w:line="259"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on Form S-8 (this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also cover any additional shares of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Oruka Therapeutics,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that become issuable under the Oruka Therapeutics, Inc. 2024 Stock Incentive Plan (the “</w:t>
      </w:r>
      <w:r>
        <w:rPr>
          <w:rFonts w:ascii="Times New Roman" w:cs="Times New Roman" w:eastAsia="Times New Roman" w:hAnsi="Times New Roman"/>
          <w:sz w:val="18"/>
          <w:szCs w:val="18"/>
          <w:b w:val="1"/>
          <w:bCs w:val="1"/>
          <w:i w:val="1"/>
          <w:iCs w:val="1"/>
          <w:color w:val="auto"/>
        </w:rPr>
        <w:t>SIP</w:t>
      </w:r>
      <w:r>
        <w:rPr>
          <w:rFonts w:ascii="Times New Roman" w:cs="Times New Roman" w:eastAsia="Times New Roman" w:hAnsi="Times New Roman"/>
          <w:sz w:val="18"/>
          <w:szCs w:val="18"/>
          <w:color w:val="auto"/>
        </w:rPr>
        <w:t>”) and the Oruka Therapeutics, Inc. 2024 Employee Stock Purchase Plan (the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to prevent dilution in the event of stock splits, stock dividends or similar transactions.</w:t>
      </w:r>
    </w:p>
    <w:p>
      <w:pPr>
        <w:spacing w:after="0" w:line="21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(h) of the Securities Act and based on the average of the high and low sale prices of the Common Stock, as quoted on The Nasdaq Global Market, on February 28, 2025.</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additional shares of Common Stock available under the SIP resulting from the annual increase in the number of authorized shares available for issuance on January 1, 2025.</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additional shares of Common Stock available under the ESPP resulting from the annual increase in the number of authorized shares available for issuance on January 1, 2025.</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jpeg"/><Relationship Id="rId27" Type="http://schemas.openxmlformats.org/officeDocument/2006/relationships/image" Target="media/image15.png"/><Relationship Id="rId28" Type="http://schemas.openxmlformats.org/officeDocument/2006/relationships/image" Target="media/image16.jpeg"/><Relationship Id="rId29" Type="http://schemas.openxmlformats.org/officeDocument/2006/relationships/image" Target="media/image17.png"/><Relationship Id="rId16" Type="http://schemas.openxmlformats.org/officeDocument/2006/relationships/hyperlink" Target="https://www.sec.gov/Archives/edgar/data/907654/000121390024098574/ea0220598-s8_oruka.htm" TargetMode="External"/><Relationship Id="rId18" Type="http://schemas.openxmlformats.org/officeDocument/2006/relationships/hyperlink" Target="https://www.sec.gov/Archives/edgar/data/907654/000121390024076184/ea021319301ex3-5_oruka.htm" TargetMode="External"/><Relationship Id="rId19" Type="http://schemas.openxmlformats.org/officeDocument/2006/relationships/hyperlink" Target="https://www.sec.gov/Archives/edgar/data/907654/000121390024076184/ea021319301ex3-6_oruka.htm" TargetMode="External"/><Relationship Id="rId20" Type="http://schemas.openxmlformats.org/officeDocument/2006/relationships/hyperlink" Target="https://www.sec.gov/Archives/edgar/data/907654/000121390024076184/ea021319301ex10-10_oruka.htm" TargetMode="External"/><Relationship Id="rId21" Type="http://schemas.openxmlformats.org/officeDocument/2006/relationships/hyperlink" Target="https://www.sec.gov/Archives/edgar/data/907654/000121390024076184/ea021319301ex10-11_oruk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2025-03-06T15:58:10Z</dcterms:created>
  <dcterms:modified xsi:type="dcterms:W3CDTF">2025-03-06T15:58:10Z</dcterms:modified>
</cp:coreProperties>
</file>